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0"/>
        </w:rPr>
        <w:t>PROJECT DESIGN PHASE</w:t>
      </w:r>
    </w:p>
    <w:p>
      <w:pPr>
        <w:jc w:val="center"/>
      </w:pPr>
      <w:r>
        <w:rPr>
          <w:rFonts w:ascii="Arial" w:hAnsi="Arial"/>
          <w:b/>
          <w:color w:val="1F4E79"/>
          <w:sz w:val="34"/>
        </w:rPr>
        <w:t>Problem–Solution Fit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20"/>
            </w:pPr>
            <w:r/>
            <w:r>
              <w:rPr>
                <w:rFonts w:ascii="Arial" w:hAnsi="Arial"/>
                <w:b/>
                <w:color w:val="000000"/>
                <w:sz w:val="17"/>
              </w:rPr>
              <w:t>Date</w:t>
            </w:r>
          </w:p>
        </w:tc>
        <w:tc>
          <w:tcPr>
            <w:tcW w:type="dxa" w:w="2556"/>
            <w:vAlign w:val="center"/>
          </w:tcPr>
          <w:p>
            <w:pPr>
              <w:spacing w:after="20"/>
            </w:pPr>
            <w:r/>
            <w:r>
              <w:rPr>
                <w:rFonts w:ascii="Arial" w:hAnsi="Arial"/>
                <w:b w:val="0"/>
                <w:color w:val="000000"/>
                <w:sz w:val="17"/>
              </w:rPr>
              <w:t>04 September 2026</w:t>
            </w:r>
          </w:p>
        </w:tc>
        <w:tc>
          <w:tcPr>
            <w:tcW w:type="dxa" w:w="2556"/>
            <w:vAlign w:val="center"/>
            <w:shd w:fill="D9EAF7"/>
          </w:tcPr>
          <w:p>
            <w:pPr>
              <w:spacing w:after="20"/>
            </w:pPr>
            <w:r/>
            <w:r>
              <w:rPr>
                <w:rFonts w:ascii="Arial" w:hAnsi="Arial"/>
                <w:b/>
                <w:color w:val="000000"/>
                <w:sz w:val="17"/>
              </w:rPr>
              <w:t>Team ID</w:t>
            </w:r>
          </w:p>
        </w:tc>
        <w:tc>
          <w:tcPr>
            <w:tcW w:type="dxa" w:w="2556"/>
            <w:vAlign w:val="center"/>
          </w:tcPr>
          <w:p>
            <w:pPr>
              <w:spacing w:after="20"/>
            </w:pPr>
            <w:r/>
            <w:r>
              <w:rPr>
                <w:rFonts w:ascii="Arial" w:hAnsi="Arial"/>
                <w:b w:val="0"/>
                <w:color w:val="000000"/>
                <w:sz w:val="17"/>
              </w:rPr>
              <w:t>________</w:t>
            </w:r>
          </w:p>
        </w:tc>
      </w:tr>
      <w:tr>
        <w:tc>
          <w:tcPr>
            <w:tcW w:type="dxa" w:w="2556"/>
            <w:vAlign w:val="center"/>
            <w:shd w:fill="D9EAF7"/>
          </w:tcPr>
          <w:p>
            <w:pPr>
              <w:spacing w:after="20"/>
            </w:pPr>
            <w:r/>
            <w:r>
              <w:rPr>
                <w:rFonts w:ascii="Arial" w:hAnsi="Arial"/>
                <w:b/>
                <w:color w:val="000000"/>
                <w:sz w:val="17"/>
              </w:rPr>
              <w:t>Project Name</w:t>
            </w:r>
          </w:p>
        </w:tc>
        <w:tc>
          <w:tcPr>
            <w:tcW w:type="dxa" w:w="2556"/>
            <w:vAlign w:val="center"/>
          </w:tcPr>
          <w:p>
            <w:pPr>
              <w:spacing w:after="20"/>
            </w:pPr>
            <w:r/>
            <w:r>
              <w:rPr>
                <w:rFonts w:ascii="Arial" w:hAnsi="Arial"/>
                <w:b w:val="0"/>
                <w:color w:val="000000"/>
                <w:sz w:val="17"/>
              </w:rPr>
              <w:t>Incident Lifecycle Automation in ServiceNow</w:t>
            </w:r>
          </w:p>
        </w:tc>
        <w:tc>
          <w:tcPr>
            <w:tcW w:type="dxa" w:w="2556"/>
            <w:vAlign w:val="center"/>
            <w:shd w:fill="D9EAF7"/>
          </w:tcPr>
          <w:p>
            <w:pPr>
              <w:spacing w:after="20"/>
            </w:pPr>
            <w:r/>
            <w:r>
              <w:rPr>
                <w:rFonts w:ascii="Arial" w:hAnsi="Arial"/>
                <w:b/>
                <w:color w:val="000000"/>
                <w:sz w:val="17"/>
              </w:rPr>
              <w:t>Maximum Marks</w:t>
            </w:r>
          </w:p>
        </w:tc>
        <w:tc>
          <w:tcPr>
            <w:tcW w:type="dxa" w:w="2556"/>
            <w:vAlign w:val="center"/>
          </w:tcPr>
          <w:p>
            <w:pPr>
              <w:spacing w:after="20"/>
            </w:pPr>
            <w:r/>
            <w:r>
              <w:rPr>
                <w:rFonts w:ascii="Arial" w:hAnsi="Arial"/>
                <w:b w:val="0"/>
                <w:color w:val="000000"/>
                <w:sz w:val="17"/>
              </w:rPr>
              <w:t>2 Marks</w:t>
            </w:r>
          </w:p>
        </w:tc>
      </w:tr>
    </w:tbl>
    <w:p/>
    <w:p>
      <w:pPr>
        <w:pStyle w:val="Heading1"/>
      </w:pPr>
      <w:r>
        <w:t>Problem Overview</w:t>
      </w:r>
    </w:p>
    <w:p>
      <w:r>
        <w:t>Organizations often receive IT incidents through emails, phone calls, or informal communication. This can cause poor tracking, inconsistent classification, delayed escalation, SLA breaches, and limited visibility into resolution progress. The proposed solution uses ServiceNow Incident Management to standardize and automate the incident lifecycle from creation through resolution and knowledge reuse.</w:t>
      </w:r>
    </w:p>
    <w:p>
      <w:pPr>
        <w:pStyle w:val="Heading1"/>
      </w:pPr>
      <w:r>
        <w:t>Problem–Solution Fit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20"/>
            </w:pPr>
            <w:r/>
            <w:r>
              <w:rPr>
                <w:rFonts w:ascii="Arial" w:hAnsi="Arial"/>
                <w:b/>
                <w:color w:val="FFFFFF"/>
                <w:sz w:val="18"/>
              </w:rPr>
              <w:t>Template Area</w:t>
            </w:r>
          </w:p>
        </w:tc>
        <w:tc>
          <w:tcPr>
            <w:tcW w:type="dxa" w:w="5112"/>
            <w:vAlign w:val="center"/>
            <w:shd w:fill="1F4E79"/>
          </w:tcPr>
          <w:p>
            <w:pPr>
              <w:spacing w:after="20"/>
            </w:pPr>
            <w:r/>
            <w:r>
              <w:rPr>
                <w:rFonts w:ascii="Arial" w:hAnsi="Arial"/>
                <w:b/>
                <w:color w:val="FFFFFF"/>
                <w:sz w:val="18"/>
              </w:rPr>
              <w:t>Incident Lifecycle Automation in ServiceNow</w:t>
            </w:r>
          </w:p>
        </w:tc>
      </w:tr>
      <w:tr>
        <w:tc>
          <w:tcPr>
            <w:tcW w:type="dxa" w:w="5112"/>
            <w:vAlign w:val="center"/>
            <w:shd w:fill="D9EAF7"/>
          </w:tcPr>
          <w:p>
            <w:pPr>
              <w:spacing w:after="20"/>
            </w:pPr>
            <w:r/>
            <w:r>
              <w:rPr>
                <w:rFonts w:ascii="Arial" w:hAnsi="Arial"/>
                <w:b/>
                <w:color w:val="000000"/>
                <w:sz w:val="17"/>
              </w:rPr>
              <w:t>Customer / User Groups</w:t>
            </w:r>
          </w:p>
        </w:tc>
        <w:tc>
          <w:tcPr>
            <w:tcW w:type="dxa" w:w="5112"/>
            <w:vAlign w:val="center"/>
          </w:tcPr>
          <w:p>
            <w:pPr>
              <w:spacing w:after="20"/>
            </w:pPr>
            <w:r/>
            <w:r>
              <w:rPr>
                <w:rFonts w:ascii="Arial" w:hAnsi="Arial"/>
                <w:b w:val="0"/>
                <w:color w:val="000000"/>
                <w:sz w:val="17"/>
              </w:rPr>
              <w:t>Service Desk agents who record and classify incidents; Level 2 technicians who investigate and resolve incidents; and organizational users who need their IT issues tracked and resolved.</w:t>
            </w:r>
          </w:p>
        </w:tc>
      </w:tr>
      <w:tr>
        <w:tc>
          <w:tcPr>
            <w:tcW w:type="dxa" w:w="5112"/>
            <w:vAlign w:val="center"/>
            <w:shd w:fill="D9EAF7"/>
          </w:tcPr>
          <w:p>
            <w:pPr>
              <w:spacing w:after="20"/>
            </w:pPr>
            <w:r/>
            <w:r>
              <w:rPr>
                <w:rFonts w:ascii="Arial" w:hAnsi="Arial"/>
                <w:b/>
                <w:color w:val="000000"/>
                <w:sz w:val="17"/>
              </w:rPr>
              <w:t>Jobs to Be Done / Problems</w:t>
            </w:r>
          </w:p>
        </w:tc>
        <w:tc>
          <w:tcPr>
            <w:tcW w:type="dxa" w:w="5112"/>
            <w:vAlign w:val="center"/>
          </w:tcPr>
          <w:p>
            <w:pPr>
              <w:spacing w:after="20"/>
            </w:pPr>
            <w:r/>
            <w:r>
              <w:rPr>
                <w:rFonts w:ascii="Arial" w:hAnsi="Arial"/>
                <w:b w:val="0"/>
                <w:color w:val="000000"/>
                <w:sz w:val="17"/>
              </w:rPr>
              <w:t>Create and classify incidents consistently; route issues to the right support group; track investigation and resolution; monitor SLAs; and retain useful knowledge for future incidents.</w:t>
            </w:r>
          </w:p>
        </w:tc>
      </w:tr>
      <w:tr>
        <w:tc>
          <w:tcPr>
            <w:tcW w:type="dxa" w:w="5112"/>
            <w:vAlign w:val="center"/>
            <w:shd w:fill="D9EAF7"/>
          </w:tcPr>
          <w:p>
            <w:pPr>
              <w:spacing w:after="20"/>
            </w:pPr>
            <w:r/>
            <w:r>
              <w:rPr>
                <w:rFonts w:ascii="Arial" w:hAnsi="Arial"/>
                <w:b/>
                <w:color w:val="000000"/>
                <w:sz w:val="17"/>
              </w:rPr>
              <w:t>Triggers</w:t>
            </w:r>
          </w:p>
        </w:tc>
        <w:tc>
          <w:tcPr>
            <w:tcW w:type="dxa" w:w="5112"/>
            <w:vAlign w:val="center"/>
          </w:tcPr>
          <w:p>
            <w:pPr>
              <w:spacing w:after="20"/>
            </w:pPr>
            <w:r/>
            <w:r>
              <w:rPr>
                <w:rFonts w:ascii="Arial" w:hAnsi="Arial"/>
                <w:b w:val="0"/>
                <w:color w:val="000000"/>
                <w:sz w:val="17"/>
              </w:rPr>
              <w:t>An IT issue is reported through email, phone, or another informal channel; an incident needs reassignment or escalation; or a related/recurring issue requires a child incident or emergency change.</w:t>
            </w:r>
          </w:p>
        </w:tc>
      </w:tr>
      <w:tr>
        <w:tc>
          <w:tcPr>
            <w:tcW w:type="dxa" w:w="5112"/>
            <w:vAlign w:val="center"/>
            <w:shd w:fill="D9EAF7"/>
          </w:tcPr>
          <w:p>
            <w:pPr>
              <w:spacing w:after="20"/>
            </w:pPr>
            <w:r/>
            <w:r>
              <w:rPr>
                <w:rFonts w:ascii="Arial" w:hAnsi="Arial"/>
                <w:b/>
                <w:color w:val="000000"/>
                <w:sz w:val="17"/>
              </w:rPr>
              <w:t>Current Experience / Emotions</w:t>
            </w:r>
          </w:p>
        </w:tc>
        <w:tc>
          <w:tcPr>
            <w:tcW w:type="dxa" w:w="5112"/>
            <w:vAlign w:val="center"/>
          </w:tcPr>
          <w:p>
            <w:pPr>
              <w:spacing w:after="20"/>
            </w:pPr>
            <w:r/>
            <w:r>
              <w:rPr>
                <w:rFonts w:ascii="Arial" w:hAnsi="Arial"/>
                <w:b w:val="0"/>
                <w:color w:val="000000"/>
                <w:sz w:val="17"/>
              </w:rPr>
              <w:t>The supplied project description identifies poor tracking, inconsistent classification, delayed escalation, SLA breaches, and limited visibility as pain points. Specific emotions are not stated in the source material.</w:t>
            </w:r>
          </w:p>
        </w:tc>
      </w:tr>
      <w:tr>
        <w:tc>
          <w:tcPr>
            <w:tcW w:type="dxa" w:w="5112"/>
            <w:vAlign w:val="center"/>
            <w:shd w:fill="D9EAF7"/>
          </w:tcPr>
          <w:p>
            <w:pPr>
              <w:spacing w:after="20"/>
            </w:pPr>
            <w:r/>
            <w:r>
              <w:rPr>
                <w:rFonts w:ascii="Arial" w:hAnsi="Arial"/>
                <w:b/>
                <w:color w:val="000000"/>
                <w:sz w:val="17"/>
              </w:rPr>
              <w:t>Available / Existing Approach</w:t>
            </w:r>
          </w:p>
        </w:tc>
        <w:tc>
          <w:tcPr>
            <w:tcW w:type="dxa" w:w="5112"/>
            <w:vAlign w:val="center"/>
          </w:tcPr>
          <w:p>
            <w:pPr>
              <w:spacing w:after="20"/>
            </w:pPr>
            <w:r/>
            <w:r>
              <w:rPr>
                <w:rFonts w:ascii="Arial" w:hAnsi="Arial"/>
                <w:b w:val="0"/>
                <w:color w:val="000000"/>
                <w:sz w:val="17"/>
              </w:rPr>
              <w:t>Incidents may arrive through emails, phone calls, or informal communication, resulting in disconnected handling and limited visibility.</w:t>
            </w:r>
          </w:p>
        </w:tc>
      </w:tr>
      <w:tr>
        <w:tc>
          <w:tcPr>
            <w:tcW w:type="dxa" w:w="5112"/>
            <w:vAlign w:val="center"/>
            <w:shd w:fill="D9EAF7"/>
          </w:tcPr>
          <w:p>
            <w:pPr>
              <w:spacing w:after="20"/>
            </w:pPr>
            <w:r/>
            <w:r>
              <w:rPr>
                <w:rFonts w:ascii="Arial" w:hAnsi="Arial"/>
                <w:b/>
                <w:color w:val="000000"/>
                <w:sz w:val="17"/>
              </w:rPr>
              <w:t>Constraints</w:t>
            </w:r>
          </w:p>
        </w:tc>
        <w:tc>
          <w:tcPr>
            <w:tcW w:type="dxa" w:w="5112"/>
            <w:vAlign w:val="center"/>
          </w:tcPr>
          <w:p>
            <w:pPr>
              <w:spacing w:after="20"/>
            </w:pPr>
            <w:r/>
            <w:r>
              <w:rPr>
                <w:rFonts w:ascii="Arial" w:hAnsi="Arial"/>
                <w:b w:val="0"/>
                <w:color w:val="000000"/>
                <w:sz w:val="17"/>
              </w:rPr>
              <w:t>The solution is designed around the ServiceNow Incident Management workflow and the support roles described in the project requirements. Additional constraints are not specified in the supplied document.</w:t>
            </w:r>
          </w:p>
        </w:tc>
      </w:tr>
      <w:tr>
        <w:tc>
          <w:tcPr>
            <w:tcW w:type="dxa" w:w="5112"/>
            <w:vAlign w:val="center"/>
            <w:shd w:fill="D9EAF7"/>
          </w:tcPr>
          <w:p>
            <w:pPr>
              <w:spacing w:after="20"/>
            </w:pPr>
            <w:r/>
            <w:r>
              <w:rPr>
                <w:rFonts w:ascii="Arial" w:hAnsi="Arial"/>
                <w:b/>
                <w:color w:val="000000"/>
                <w:sz w:val="17"/>
              </w:rPr>
              <w:t>Desired Behaviour</w:t>
            </w:r>
          </w:p>
        </w:tc>
        <w:tc>
          <w:tcPr>
            <w:tcW w:type="dxa" w:w="5112"/>
            <w:vAlign w:val="center"/>
          </w:tcPr>
          <w:p>
            <w:pPr>
              <w:spacing w:after="20"/>
            </w:pPr>
            <w:r/>
            <w:r>
              <w:rPr>
                <w:rFonts w:ascii="Arial" w:hAnsi="Arial"/>
                <w:b w:val="0"/>
                <w:color w:val="000000"/>
                <w:sz w:val="17"/>
              </w:rPr>
              <w:t>Use a structured lifecycle for incident creation, classification, assignment, L2 investigation, resolution, change handling, child-incident tracking, knowledge reuse, and SLA monitoring.</w:t>
            </w:r>
          </w:p>
        </w:tc>
      </w:tr>
      <w:tr>
        <w:tc>
          <w:tcPr>
            <w:tcW w:type="dxa" w:w="5112"/>
            <w:vAlign w:val="center"/>
            <w:shd w:fill="D9EAF7"/>
          </w:tcPr>
          <w:p>
            <w:pPr>
              <w:spacing w:after="20"/>
            </w:pPr>
            <w:r/>
            <w:r>
              <w:rPr>
                <w:rFonts w:ascii="Arial" w:hAnsi="Arial"/>
                <w:b/>
                <w:color w:val="000000"/>
                <w:sz w:val="17"/>
              </w:rPr>
              <w:t>Channels / Touchpoints</w:t>
            </w:r>
          </w:p>
        </w:tc>
        <w:tc>
          <w:tcPr>
            <w:tcW w:type="dxa" w:w="5112"/>
            <w:vAlign w:val="center"/>
          </w:tcPr>
          <w:p>
            <w:pPr>
              <w:spacing w:after="20"/>
            </w:pPr>
            <w:r/>
            <w:r>
              <w:rPr>
                <w:rFonts w:ascii="Arial" w:hAnsi="Arial"/>
                <w:b w:val="0"/>
                <w:color w:val="000000"/>
                <w:sz w:val="17"/>
              </w:rPr>
              <w:t>Incident intake through Service Desk; assignment and reassignment to support groups; Level 2 investigation; Knowledge Management; and incident status/SLA reporting.</w:t>
            </w:r>
          </w:p>
        </w:tc>
      </w:tr>
      <w:tr>
        <w:tc>
          <w:tcPr>
            <w:tcW w:type="dxa" w:w="5112"/>
            <w:vAlign w:val="center"/>
            <w:shd w:fill="D9EAF7"/>
          </w:tcPr>
          <w:p>
            <w:pPr>
              <w:spacing w:after="20"/>
            </w:pPr>
            <w:r/>
            <w:r>
              <w:rPr>
                <w:rFonts w:ascii="Arial" w:hAnsi="Arial"/>
                <w:b/>
                <w:color w:val="000000"/>
                <w:sz w:val="17"/>
              </w:rPr>
              <w:t>Root Cause</w:t>
            </w:r>
          </w:p>
        </w:tc>
        <w:tc>
          <w:tcPr>
            <w:tcW w:type="dxa" w:w="5112"/>
            <w:vAlign w:val="center"/>
          </w:tcPr>
          <w:p>
            <w:pPr>
              <w:spacing w:after="20"/>
            </w:pPr>
            <w:r/>
            <w:r>
              <w:rPr>
                <w:rFonts w:ascii="Arial" w:hAnsi="Arial"/>
                <w:b w:val="0"/>
                <w:color w:val="000000"/>
                <w:sz w:val="17"/>
              </w:rPr>
              <w:t>The absence of a consistent, visible, and controlled incident-handling process across intake, classification, assignment, resolution, and knowledge reuse.</w:t>
            </w:r>
          </w:p>
        </w:tc>
      </w:tr>
      <w:tr>
        <w:tc>
          <w:tcPr>
            <w:tcW w:type="dxa" w:w="5112"/>
            <w:vAlign w:val="center"/>
            <w:shd w:fill="D9EAF7"/>
          </w:tcPr>
          <w:p>
            <w:pPr>
              <w:spacing w:after="20"/>
            </w:pPr>
            <w:r/>
            <w:r>
              <w:rPr>
                <w:rFonts w:ascii="Arial" w:hAnsi="Arial"/>
                <w:b/>
                <w:color w:val="000000"/>
                <w:sz w:val="17"/>
              </w:rPr>
              <w:t>Proposed Solution</w:t>
            </w:r>
          </w:p>
        </w:tc>
        <w:tc>
          <w:tcPr>
            <w:tcW w:type="dxa" w:w="5112"/>
            <w:vAlign w:val="center"/>
          </w:tcPr>
          <w:p>
            <w:pPr>
              <w:spacing w:after="20"/>
            </w:pPr>
            <w:r/>
            <w:r>
              <w:rPr>
                <w:rFonts w:ascii="Arial" w:hAnsi="Arial"/>
                <w:b w:val="0"/>
                <w:color w:val="000000"/>
                <w:sz w:val="17"/>
              </w:rPr>
              <w:t>Use ServiceNow to standardize the incident lifecycle, support knowledge search and reuse, route incidents to appropriate teams, handle emergency changes and child incidents when required, and improve SLA tracking and service visibility.</w:t>
            </w:r>
          </w:p>
        </w:tc>
      </w:tr>
    </w:tbl>
    <w:p/>
    <w:p>
      <w:pPr>
        <w:pStyle w:val="Heading1"/>
      </w:pPr>
      <w:r>
        <w:t>Solution Workflow</w:t>
      </w:r>
    </w:p>
    <w:p>
      <w:pPr>
        <w:pStyle w:val="ListNumber"/>
        <w:spacing w:after="60"/>
      </w:pPr>
      <w:r>
        <w:t>Incident Creation: Service Desk receives the issue and records the incident with relevant user, service, description, and impact details.</w:t>
      </w:r>
    </w:p>
    <w:p>
      <w:pPr>
        <w:pStyle w:val="ListNumber"/>
        <w:spacing w:after="60"/>
      </w:pPr>
      <w:r>
        <w:t>Classification &amp; Prioritization: The incident is categorized and assigned a priority so urgent issues receive appropriate attention.</w:t>
      </w:r>
    </w:p>
    <w:p>
      <w:pPr>
        <w:pStyle w:val="ListNumber"/>
        <w:spacing w:after="60"/>
      </w:pPr>
      <w:r>
        <w:t>Assignment: The incident is routed or reassigned to the correct support group for action.</w:t>
      </w:r>
    </w:p>
    <w:p>
      <w:pPr>
        <w:pStyle w:val="ListNumber"/>
        <w:spacing w:after="60"/>
      </w:pPr>
      <w:r>
        <w:t>L2 Investigation &amp; Resolution: Level 2 technicians investigate the issue, document work notes, apply the fix, and update the incident state.</w:t>
      </w:r>
    </w:p>
    <w:p>
      <w:pPr>
        <w:pStyle w:val="ListNumber"/>
        <w:spacing w:after="60"/>
      </w:pPr>
      <w:r>
        <w:t>Change &amp; Child Incident Handling: Emergency changes can be initiated from an incident, while child incidents can be created for related or recurring issues.</w:t>
      </w:r>
    </w:p>
    <w:p>
      <w:pPr>
        <w:pStyle w:val="ListNumber"/>
        <w:spacing w:after="60"/>
      </w:pPr>
      <w:r>
        <w:t>Knowledge Reuse &amp; Closure: Resolved incidents can provide input for knowledge articles, while closure records the final resolution and SLA information.</w:t>
      </w:r>
    </w:p>
    <w:p>
      <w:pPr>
        <w:jc w:val="center"/>
      </w:pPr>
      <w:r>
        <w:rPr>
          <w:i/>
          <w:color w:val="5A5A5A"/>
          <w:sz w:val="16"/>
        </w:rPr>
        <w:t>Figure 1. Standardized ServiceNow incident lifecycle</w:t>
      </w:r>
    </w:p>
    <w:p>
      <w:pPr>
        <w:pStyle w:val="Heading1"/>
      </w:pPr>
      <w:r>
        <w:t>Expected Benefits</w:t>
      </w:r>
    </w:p>
    <w:p>
      <w:pPr>
        <w:pStyle w:val="ListBullet"/>
        <w:spacing w:after="40"/>
        <w:ind w:left="317"/>
      </w:pPr>
      <w:r>
        <w:t>Centralized incident tracking and complete resolution history.</w:t>
      </w:r>
    </w:p>
    <w:p>
      <w:pPr>
        <w:pStyle w:val="ListBullet"/>
        <w:spacing w:after="40"/>
        <w:ind w:left="317"/>
      </w:pPr>
      <w:r>
        <w:t>Faster resolution through knowledge search and reuse.</w:t>
      </w:r>
    </w:p>
    <w:p>
      <w:pPr>
        <w:pStyle w:val="ListBullet"/>
        <w:spacing w:after="40"/>
        <w:ind w:left="317"/>
      </w:pPr>
      <w:r>
        <w:t>Better assignment, escalation, and collaboration between support levels.</w:t>
      </w:r>
    </w:p>
    <w:p>
      <w:pPr>
        <w:pStyle w:val="ListBullet"/>
        <w:spacing w:after="40"/>
        <w:ind w:left="317"/>
      </w:pPr>
      <w:r>
        <w:t>Improved SLA monitoring and reduced risk of missed targets.</w:t>
      </w:r>
    </w:p>
    <w:p>
      <w:pPr>
        <w:pStyle w:val="ListBullet"/>
        <w:spacing w:after="40"/>
        <w:ind w:left="317"/>
      </w:pPr>
      <w:r>
        <w:t>Better visibility through incident queues, status updates, and reporting.</w:t>
      </w:r>
    </w:p>
    <w:p>
      <w:pPr>
        <w:pStyle w:val="ListBullet"/>
        <w:spacing w:after="40"/>
        <w:ind w:left="317"/>
      </w:pPr>
      <w:r>
        <w:t>Reusable knowledge captured from successfully resolved incidents.</w:t>
      </w:r>
    </w:p>
    <w:p>
      <w:pPr>
        <w:pStyle w:val="Heading1"/>
      </w:pPr>
      <w:r>
        <w:t>Problem–Solution Fit Summary</w:t>
      </w:r>
    </w:p>
    <w:p>
      <w:r>
        <w:t>The problem is the lack of a consistent, visible, and controlled incident-handling process. The solution fits this need by using ServiceNow to provide a structured workflow for incident creation, classification, assignment, investigation, resolution, change handling, child-incident tracking, and knowledge reuse.</w:t>
      </w:r>
    </w:p>
    <w:p>
      <w:pPr>
        <w:pStyle w:val="Heading2"/>
      </w:pPr>
      <w:r>
        <w:t>Reference</w:t>
      </w:r>
    </w:p>
    <w:p>
      <w:r>
        <w:t>Incident Lifecycle Automation in ServiceNow project concept and workflow, based on the provided project document.</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Incident Lifecycle Automation in ServiceNow | Project Design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