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内存数据落盘技术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SQL请求执行流程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DML语言处理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DDL语言处理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查询改写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执行计划缓存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SQL调优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局部索引与全局索引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SQL执行性能监控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分布式事务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全局快照及分布式一致性读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分布式两阶段提交</w:t>
      </w:r>
    </w:p>
    <w:bookmarkEnd w:id="0"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OBProxy路由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ceanBase在部署完成后，应用可以采用OB提供的客户端、MySQL客户端或者其他语言的客户端来访问OceanBase，OceanBase以服务的形式提供给应用访问。OceanBase集群一般包含多个Zone，每个Zone中又包含一台或多台OBServer，集群中的每个OBServer都可以接收用户的连接并处理请求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实现一个OBProxy来接受来自应用的请求，并转发给OBServer，然后OBServer将数据返回给OBProxy，OBProxy将数据转发给应用客户端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82511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OBProxy作为OceanBase的高性能且易于运维的反向代理服务器，具有防连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接闪断、OBServer宕机或升级不影响客户端正常请求、兼容所有MySQL客户端、支持热升级和多集群功能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SQLParser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SQLParser：轻量的sql解析，判断出客户端的sql请求所涉及的表的主副本在哪台机器上，将请求路由至主副本所在的机器上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LDC路由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LDC路由：主要对于读写分离的场景，根据observer和obproxy配置的region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（区域）和LDC（逻辑机房），将请求发送给本地的副本（后面proxy路由策略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会详细说明）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读写分离部署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读写分离部署：对于读写分离的场景，</w:t>
      </w:r>
      <w:r>
        <w:rPr>
          <w:rFonts w:hint="default"/>
          <w:color w:val="FF0000"/>
          <w:lang w:val="en-US" w:eastAsia="zh-CN"/>
        </w:rPr>
        <w:t>OBProxy会把请求优先发送到本地的只读副本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黑名单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黑名单：OBProxy在路由过程中，如果发现OBServer不可用，则把该server加入到黑名单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在observer宕机/升级/重启时，客户端与OBProxy的连接不会断开， OBProxy可以迅速切换到正常的server上，对应用透明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OBProxy支持用户通过同一个OBProxy访问多个OceanBase集群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Server session对于每个client session独占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• 同一个client session对应server session状态保持相同(session变量同步)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OBProxy与OB集群（OBServer）保持长连接，客户端一般通过连接池的方式连接到OBProxy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根据不同的配置，Obproxy进行综合的路由排序：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LDC配置：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本地：同城同机房（IDC相同）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同城：同城不同机房（IDC不同，Region相同）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异地：不同的地域（Region不同）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Observer 状态：常态vs正在合并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租户的Zone类型：读写型vs只读型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路由精准度：优先精准度高的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OBproxy中有目标partition的路由信息（PS）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OBproxy中没有Partition的路由信息，只有租户的路由信息（TS）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写请求：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- 写请求路由到ReadWrite zone的主副本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读请求：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- 强一致性读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- 弱一致性读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⚫ 主备均衡路由策略（默认）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⚫ 备优先读策略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⚫ 读写分离策略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使用限制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使用和运维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逻辑备份/恢复方案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9225" cy="29013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OceanBase支持全量备份和增量备份，全量备份是对存储层的基线数据进行备份，增量备份是通过redo-log备份， OceanBase支持在线实时的全量和增量备份，对业务无感知。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备份支持2种介质，一种是阿里云OSS存储，另外一种是普通的NFS。 NFS需要一个公共目录，每个OB Server都可以访问， NFS服务器为每台OB Server创建子目录。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备份性能可以达到网卡的上限，约1G左右。恢复性能，一般也可以达到500兆左右。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备份恢复最小粒度是租户，让备份和恢复更加灵活。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备份恢复数据方面，支持逻辑数据（比如用户权限、 表定义、系统变量、用户信息、视图信息等）和物理数据。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OceanBase的备份恢复，完全能够满足企业的日常需求。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物理备份/恢复方案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1035" cy="2556510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查看任务状态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监控告警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数据库用户管理操作包括新建用户、删除用户、修改密码、修改用户名、锁定用户、用户授权和撤销授权等。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用户分为两类：系统租户下的用户，一般租户下的用户.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创建用户时，如果当前会话的租户为系统租户，则新建的用户为系统租户用户，反之为一般租户下的用户。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创建用户：create user ‘my_user’identified by ‘my_password’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删除用户：drop user ‘my_user’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给用户相应权限：grant [用户权限] on [资源对象] to username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收回权限：revoke [用户权限] on [资源对象] to username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• 查看用户：show grants for username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Observer日志： OceanBase在运行过程中会自动生成日志。维护工程师通过查看和分析日志，可以了解OceanBase的启动和运行状态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/home/admin/oceanbase/log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➢ 事务/存储日志： OceanBase在事务执行过程中，会持久化事务/存储日志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• /data/log1/集群名/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78400" cy="2204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clog是指广义的 Commit Log，代表整个事务的所有日志信息。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事务的日志包括： redo log, prepare log, commit log, abort log, clear log等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redo log记录了事务的具体操作，比如某行数据的某个字段从A修改为B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prepare log记录了事务的prepare状态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commit log表示这个事务成功commit，并记录commit信息，比如事务的全局版本号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clear log用于通知事务清理事务上下文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• abort log表示这个事务被回滚所有的事务日志信息，不用于用户查看和定位系统问题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ilog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slog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日常运维操作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数据库监控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故障排查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常见异常处理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灾难恢复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55963DA"/>
    <w:rsid w:val="07915E53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5C54A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E5374"/>
    <w:rsid w:val="1C825174"/>
    <w:rsid w:val="1D5E68F5"/>
    <w:rsid w:val="1DC6652B"/>
    <w:rsid w:val="1EBA2D87"/>
    <w:rsid w:val="1F632E9B"/>
    <w:rsid w:val="1FA85D39"/>
    <w:rsid w:val="210E44F0"/>
    <w:rsid w:val="212B3A7B"/>
    <w:rsid w:val="216116D5"/>
    <w:rsid w:val="21C047D5"/>
    <w:rsid w:val="21ED1295"/>
    <w:rsid w:val="243430AC"/>
    <w:rsid w:val="2499116A"/>
    <w:rsid w:val="249B0A6C"/>
    <w:rsid w:val="24CE61DB"/>
    <w:rsid w:val="24E65982"/>
    <w:rsid w:val="257D4821"/>
    <w:rsid w:val="27062A52"/>
    <w:rsid w:val="272415EE"/>
    <w:rsid w:val="27CB49D1"/>
    <w:rsid w:val="281456EE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1B21F2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44F717C"/>
    <w:rsid w:val="454509E5"/>
    <w:rsid w:val="46042C58"/>
    <w:rsid w:val="4841284B"/>
    <w:rsid w:val="494049A4"/>
    <w:rsid w:val="49454BE1"/>
    <w:rsid w:val="4DDE2B2D"/>
    <w:rsid w:val="4F8F7B7B"/>
    <w:rsid w:val="50D4763D"/>
    <w:rsid w:val="52530C3D"/>
    <w:rsid w:val="537B15BF"/>
    <w:rsid w:val="54513C1B"/>
    <w:rsid w:val="568B4828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6F977A49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fontstyle01"/>
    <w:basedOn w:val="14"/>
    <w:qFormat/>
    <w:uiPriority w:val="0"/>
    <w:rPr>
      <w:rFonts w:ascii="MicrosoftYaHei" w:hAnsi="MicrosoftYaHei" w:eastAsia="MicrosoftYaHei" w:cs="MicrosoftYaHei"/>
      <w:color w:val="757070"/>
      <w:sz w:val="18"/>
      <w:szCs w:val="18"/>
    </w:rPr>
  </w:style>
  <w:style w:type="character" w:customStyle="1" w:styleId="25">
    <w:name w:val="fontstyle11"/>
    <w:basedOn w:val="14"/>
    <w:qFormat/>
    <w:uiPriority w:val="0"/>
    <w:rPr>
      <w:rFonts w:ascii="ArialMT" w:hAnsi="ArialMT" w:eastAsia="ArialMT" w:cs="ArialMT"/>
      <w:color w:val="757070"/>
      <w:sz w:val="18"/>
      <w:szCs w:val="18"/>
    </w:rPr>
  </w:style>
  <w:style w:type="character" w:customStyle="1" w:styleId="26">
    <w:name w:val="fontstyle21"/>
    <w:basedOn w:val="14"/>
    <w:uiPriority w:val="0"/>
    <w:rPr>
      <w:rFonts w:ascii="ArialMT" w:hAnsi="ArialMT" w:eastAsia="ArialMT" w:cs="ArialMT"/>
      <w:color w:val="757070"/>
      <w:sz w:val="16"/>
      <w:szCs w:val="16"/>
    </w:rPr>
  </w:style>
  <w:style w:type="character" w:customStyle="1" w:styleId="27">
    <w:name w:val="fontstyle31"/>
    <w:basedOn w:val="14"/>
    <w:uiPriority w:val="0"/>
    <w:rPr>
      <w:rFonts w:ascii="Wingdings-Regular" w:hAnsi="Wingdings-Regular" w:eastAsia="Wingdings-Regular" w:cs="Wingdings-Regular"/>
      <w:color w:val="757070"/>
      <w:sz w:val="18"/>
      <w:szCs w:val="18"/>
    </w:rPr>
  </w:style>
  <w:style w:type="character" w:customStyle="1" w:styleId="28">
    <w:name w:val="fontstyle41"/>
    <w:basedOn w:val="14"/>
    <w:qFormat/>
    <w:uiPriority w:val="0"/>
    <w:rPr>
      <w:rFonts w:ascii="Wingdings-Regular" w:hAnsi="Wingdings-Regular" w:eastAsia="Wingdings-Regular" w:cs="Wingdings-Regular"/>
      <w:color w:val="75707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2021-04-09T17:47:24Z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