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Yugabyte DB是一个全球部署的分布式数据库，和国内的TiDB和国外的CockroachDB类似，也是受到Spanner论文启发，所以在很多地方这几个数据库存在不少相似之处。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与Cockroach类似，Yugabyte也主打</w:t>
      </w:r>
      <w:r>
        <w:rPr>
          <w:rFonts w:hint="eastAsia"/>
          <w:color w:val="FF0000"/>
          <w:lang w:val="en-US" w:eastAsia="zh-CN"/>
        </w:rPr>
        <w:t>全球分布式的事务数据库</w:t>
      </w:r>
      <w:r>
        <w:rPr>
          <w:rFonts w:hint="eastAsia"/>
          <w:lang w:val="en-US" w:eastAsia="zh-CN"/>
        </w:rPr>
        <w:t>——不仅能把节点部署到全球各地，还能完整支持ACID事务，这是他最大的卖点。除此以外还有一些独特的特性，比如</w:t>
      </w:r>
      <w:r>
        <w:rPr>
          <w:rFonts w:hint="eastAsia"/>
          <w:color w:val="FF0000"/>
          <w:lang w:val="en-US" w:eastAsia="zh-CN"/>
        </w:rPr>
        <w:t>支持文档数据库接口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逻辑上，</w:t>
      </w:r>
      <w:r>
        <w:rPr>
          <w:rFonts w:hint="eastAsia"/>
          <w:color w:val="FF0000"/>
          <w:lang w:val="en-US" w:eastAsia="zh-CN"/>
        </w:rPr>
        <w:t>Yugabyte采用两层架构：查询层和存储层</w:t>
      </w:r>
      <w:r>
        <w:rPr>
          <w:rFonts w:hint="eastAsia"/>
          <w:lang w:val="en-US" w:eastAsia="zh-CN"/>
        </w:rPr>
        <w:t>。不过这个架构仅仅是逻辑上的，部署结构中，这两层都位于TServer进程中。这一点和TiDB不同。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Yugabyte的查询层支持同时SQL和CQL（Cloud Query Language）两种API，其中</w:t>
      </w:r>
      <w:r>
        <w:rPr>
          <w:rFonts w:hint="eastAsia"/>
          <w:color w:val="FF0000"/>
          <w:lang w:val="en-US" w:eastAsia="zh-CN"/>
        </w:rPr>
        <w:t>CQL是兼容Cassandra的一种方言语法，对应于文档数据库的存储模型</w:t>
      </w:r>
      <w:r>
        <w:rPr>
          <w:rFonts w:hint="eastAsia"/>
          <w:lang w:val="en-US" w:eastAsia="zh-CN"/>
        </w:rPr>
        <w:t>；而 SQL API是直接基于PostgresQL魔改的，能比较好地兼容PG语法，据官方说这样可以更方便地跟随PG新特性。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Yugabyte的存储层才是重头戏。其中</w:t>
      </w:r>
      <w:r>
        <w:rPr>
          <w:rFonts w:hint="eastAsia"/>
          <w:color w:val="FF0000"/>
          <w:lang w:val="en-US" w:eastAsia="zh-CN"/>
        </w:rPr>
        <w:t>TServer负责存储tablet，每个tablet对应一个Raft Group，分布在三个不同的节点上，以此保证高可用性</w:t>
      </w:r>
      <w:r>
        <w:rPr>
          <w:rFonts w:hint="eastAsia"/>
          <w:lang w:val="en-US" w:eastAsia="zh-CN"/>
        </w:rPr>
        <w:t>。Master负责元数据管理，除了tablet的位置信息，还包括表结构等信息。</w:t>
      </w:r>
      <w:r>
        <w:rPr>
          <w:rFonts w:hint="eastAsia"/>
          <w:color w:val="FF0000"/>
          <w:lang w:val="en-US" w:eastAsia="zh-CN"/>
        </w:rPr>
        <w:t>Master本身也依靠Raft实现高可用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252345"/>
            <wp:effectExtent l="0" t="0" r="381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基于Tablet的分布式存储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这一部分是HBase/Spanner精髓部分，Cockroach/TiDB的做法几乎也是一模一样的。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如下图所示，</w:t>
      </w:r>
      <w:r>
        <w:rPr>
          <w:rFonts w:hint="eastAsia"/>
          <w:color w:val="FF0000"/>
          <w:lang w:val="en-US" w:eastAsia="zh-CN"/>
        </w:rPr>
        <w:t>每张表被分成很多个tablet，tablet是数据分布的最小单元，通过在节点间搬运tablet以及tablet的分裂与合并，就可以实现几乎无上限的scale out</w:t>
      </w:r>
      <w:r>
        <w:rPr>
          <w:rFonts w:hint="eastAsia"/>
          <w:lang w:val="en-US" w:eastAsia="zh-CN"/>
        </w:rPr>
        <w:t>。每个tablet有多个副本，形成一个Raft Group，通过Raft协议保证数据的高可用和持久性，Group Leader负责处理所有的写入负载，其他Follower作为备份。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下图是一个例子：一张表被分成16个tablet，tablet的副本和Raft Group leader均匀分布在各个节点上，分别保证了数据的均衡和负载的均衡。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304540"/>
            <wp:effectExtent l="0" t="0" r="12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和其他产品一样，</w:t>
      </w:r>
      <w:r>
        <w:rPr>
          <w:rFonts w:hint="eastAsia"/>
          <w:color w:val="FF0000"/>
          <w:lang w:val="en-US" w:eastAsia="zh-CN"/>
        </w:rPr>
        <w:t>Master节点会负责协调tablet的搬运、分裂等操作，保证集群的负载均衡。这些操作是直接基于Raft Group实现的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有趣的是，</w:t>
      </w:r>
      <w:r>
        <w:rPr>
          <w:rFonts w:hint="eastAsia"/>
          <w:color w:val="FF0000"/>
          <w:lang w:val="en-US" w:eastAsia="zh-CN"/>
        </w:rPr>
        <w:t>Yugabyte采用哈希和范围结合的分区方式：可以只有哈希分区、也可以只有范围分区、也可以先按哈希再按范围分区</w:t>
      </w:r>
      <w:r>
        <w:rPr>
          <w:rFonts w:hint="eastAsia"/>
          <w:lang w:val="en-US" w:eastAsia="zh-CN"/>
        </w:rPr>
        <w:t>。之所以这么设计，猜测也是因为Cassandra的影响。相比之下，</w:t>
      </w:r>
      <w:r>
        <w:rPr>
          <w:rFonts w:hint="eastAsia"/>
          <w:color w:val="FF0000"/>
          <w:lang w:val="en-US" w:eastAsia="zh-CN"/>
        </w:rPr>
        <w:t>TiDB和Cockroach都只支持范围分区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哈希分区的方式是将key哈希映射到2字节的空间中（即 0x0000 到 0xFFFF），这个空间又被划分成多个范围，比如下图的例子中被划分为16个范围，每个范围的key落在一个tablet中。理论上说最多可能有64K个tablet，这对实际使用足够了。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452370"/>
            <wp:effectExtent l="0" t="0" r="1206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哈希分区的好处是插入数据（尤其是从尾部 append 数据）时不会出现热点；坏处是对于小范围的范围扫描（例如 pk BETWEEN 1 AND 10）性能会比较吃亏。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基于RocksDB的本地存储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每个TServer节点上的本地存储称为DocDB。</w:t>
      </w:r>
      <w:r>
        <w:rPr>
          <w:rFonts w:hint="eastAsia"/>
          <w:color w:val="FF0000"/>
          <w:lang w:val="en-US" w:eastAsia="zh-CN"/>
        </w:rPr>
        <w:t>和TiDB/Cockroach一样，Yugabyte也用RocksDB来做本地存储</w:t>
      </w:r>
      <w:r>
        <w:rPr>
          <w:rFonts w:hint="eastAsia"/>
          <w:lang w:val="en-US" w:eastAsia="zh-CN"/>
        </w:rPr>
        <w:t>。这一层需要将关系型tuple以及文档编码为key-value保存到RocksDB 中，下图是对文档数据的编码方式，其中有不少是为了兼容Cassandra设计的，我们忽略这些，主要关注以下几个部分：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1、key中包含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16-bit hash：依靠这个值才能做到哈希分区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主键数据（对应图中hash/range columns）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 ID：因为每个tuple有多个列，每个列在这里需要用一个key-value来表示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hybrid timestamp：用于MVCC的时间戳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2、value中包含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column的值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01465" cy="2328545"/>
            <wp:effectExtent l="0" t="0" r="635" b="825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如果撇开文档模型，key-value的设计很像 Cockroach：每个cell（一行中的一列数据）对应一个key-value。而TiDB是每个tuple 打包成一个key-value。个人比较偏好TiDB的做法。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和TiDB/Cockroach一样，Yugabyte也采用了MVCC结合2PC的事务实现。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时间戳是分布式事务的关键选型之一。</w:t>
      </w:r>
      <w:r>
        <w:rPr>
          <w:rFonts w:hint="default"/>
          <w:color w:val="FF0000"/>
          <w:lang w:val="en-US" w:eastAsia="zh-CN"/>
        </w:rPr>
        <w:t>Yugabyte和Cockroach一样选择的是Hybrid Logical Clock (HLC)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LC将时间戳分成物理（高位）和逻辑（低位）两部分，物理部分对应UNIX时间戳，逻辑部分对应Lamport时钟。在同一毫秒以内，物理时钟不变，而逻辑时钟就和Lamport时钟一样处理——每当发生信息交换（RPC）就需要更新时间戳，从而确保操作与操作之间能够形成一个偏序关系；当下一个毫秒到来时，逻辑时钟部分归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不难看出，</w:t>
      </w:r>
      <w:r>
        <w:rPr>
          <w:rFonts w:hint="default"/>
          <w:color w:val="FF0000"/>
          <w:lang w:val="en-US" w:eastAsia="zh-CN"/>
        </w:rPr>
        <w:t>HLC的正确性其实是由Logical Clock来保证的</w:t>
      </w:r>
      <w:r>
        <w:rPr>
          <w:rFonts w:hint="default"/>
          <w:lang w:val="en-US" w:eastAsia="zh-CN"/>
        </w:rPr>
        <w:t>：它相比Logical Clock只是在每个毫秒引入了一个额外的增量，显然这不会破坏Logical Clock的正确性。但是，物理部分的存在将原本无意义的时间戳赋予了物理意义，提高了实用性。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个人认为，</w:t>
      </w:r>
      <w:r>
        <w:rPr>
          <w:rFonts w:hint="default"/>
          <w:b/>
          <w:bCs/>
          <w:color w:val="FF0000"/>
          <w:u w:val="single"/>
          <w:lang w:val="en-US" w:eastAsia="zh-CN"/>
        </w:rPr>
        <w:t>HLC是除了TrueTime以外最好的时间戳实现了，唯一的缺点是不能提供真正意义上的外部一致性，仅仅能保证相关事务之间的“外部一致性”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另一种方案是引入中心授时节点（TSO），也就是TiDB使用的方案。</w:t>
      </w:r>
      <w:r>
        <w:rPr>
          <w:rFonts w:hint="default"/>
          <w:color w:val="FF0000"/>
          <w:lang w:val="en-US" w:eastAsia="zh-CN"/>
        </w:rPr>
        <w:t>TSO方案要求所有事务必须从TSO获取时间戳，实现相对简单，但引入了更多的网络RPC，而且TSO过于关键——短时间的不可用也是极为危险的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HLC的实现中有一些很tricky的地方，比如文档中提到的Safe timestamp assignment for a read request。对于同一事务中的多次read，问题还要更复杂，有兴趣的读者可以看Cockroach团队的这篇博客 Living Without Atomic Clocks。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事务提交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毫不惊奇，Yugabyte的分布式事务同样是基于2PC的。他的做法接近Cockroach。</w:t>
      </w:r>
      <w:r>
        <w:rPr>
          <w:rFonts w:hint="default"/>
          <w:color w:val="FF0000"/>
          <w:lang w:val="en-US" w:eastAsia="zh-CN"/>
        </w:rPr>
        <w:t>事务提交过程中，他会在DocDB存储里面写入一些临时的记录（provisional records）</w:t>
      </w:r>
      <w:r>
        <w:rPr>
          <w:rFonts w:hint="default"/>
          <w:lang w:val="en-US" w:eastAsia="zh-CN"/>
        </w:rPr>
        <w:t>，包括以下三种类型：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provisional records：还未提交完成的数据，多了一个事务ID，也扮演锁的角色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Transaction metadata：事务状态所在的tablet ID。因为事务状态表很特殊，不是按照hash key分片的，所以需要在这里记录一下它的位置。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Reverse Index：所有本事务中的primary provisional records，便于恢复使用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67175" cy="3091180"/>
            <wp:effectExtent l="0" t="0" r="9525" b="762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9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事务的状态信息保存在另一个tablet上，包括三种可能的状态：Pending、Committed或Aborted。事务从Pending状态开始，终结于Committed或Aborted。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事务状态就是Commit Point的那个“开关”，当事务状态切换到Commited的一瞬间，就意味着事务的成功提交。这是保证整个事务原子性的关键。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完整的提交流程如下图所示：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65395" cy="3463290"/>
            <wp:effectExtent l="0" t="0" r="1905" b="3810"/>
            <wp:docPr id="5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346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另外，</w:t>
      </w:r>
      <w:bookmarkStart w:id="0" w:name="_GoBack"/>
      <w:r>
        <w:rPr>
          <w:rFonts w:hint="default"/>
          <w:color w:val="FF0000"/>
          <w:lang w:val="en-US" w:eastAsia="zh-CN"/>
        </w:rPr>
        <w:t>Yugabyte文档中提到它除了Snapshot Isolation还支持Serializable隔离级别，但是似乎没有看到他是如何规避Write Skew问题的</w:t>
      </w:r>
      <w:bookmarkEnd w:id="0"/>
      <w:r>
        <w:rPr>
          <w:rFonts w:hint="default"/>
          <w:lang w:val="en-US" w:eastAsia="zh-CN"/>
        </w:rPr>
        <w:t>。从Release Notes看来这应该是2.0 GA中新增加的功能！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1C7604D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0AF7AF8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CE16EE2"/>
    <w:rsid w:val="2E805A5D"/>
    <w:rsid w:val="307A7BE1"/>
    <w:rsid w:val="32B001C4"/>
    <w:rsid w:val="34177837"/>
    <w:rsid w:val="349C303A"/>
    <w:rsid w:val="359434B2"/>
    <w:rsid w:val="363076D6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9E4B69"/>
    <w:rsid w:val="5DEA465A"/>
    <w:rsid w:val="5E3E7E17"/>
    <w:rsid w:val="64B00ECA"/>
    <w:rsid w:val="66794D6B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ascii="Times New Roman" w:hAnsi="Times New Roman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0" w:after="0" w:afterAutospacing="0"/>
      <w:jc w:val="left"/>
      <w:outlineLvl w:val="5"/>
    </w:pPr>
    <w:rPr>
      <w:rFonts w:hint="default" w:ascii="Times New Roman" w:hAnsi="Times New Roman" w:eastAsia="仿宋" w:cs="宋体"/>
      <w:b/>
      <w:bCs/>
      <w:kern w:val="0"/>
      <w:sz w:val="21"/>
      <w:szCs w:val="15"/>
      <w:lang w:bidi="ar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TML Code"/>
    <w:basedOn w:val="15"/>
    <w:uiPriority w:val="0"/>
    <w:rPr>
      <w:rFonts w:ascii="Courier New" w:hAnsi="Courier New"/>
      <w:sz w:val="20"/>
    </w:rPr>
  </w:style>
  <w:style w:type="character" w:styleId="17">
    <w:name w:val="footnote reference"/>
    <w:basedOn w:val="15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5"/>
    <w:link w:val="3"/>
    <w:qFormat/>
    <w:uiPriority w:val="0"/>
    <w:rPr>
      <w:rFonts w:hint="default" w:ascii="Times New Roman" w:hAnsi="Times New Roman" w:eastAsia="仿宋" w:cs="宋体"/>
      <w:b/>
      <w:bCs/>
      <w:sz w:val="24"/>
      <w:szCs w:val="32"/>
    </w:rPr>
  </w:style>
  <w:style w:type="character" w:customStyle="1" w:styleId="22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5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5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2021-04-26T09:51:05Z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