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69" w:lineRule="auto"/>
        <w:jc w:val="center"/>
      </w:pPr>
      <w:r>
        <w:rPr>
          <w:rFonts w:ascii="Times New Roman" w:hAnsi="Times New Roman" w:eastAsia="黑体"/>
          <w:b/>
          <w:sz w:val="36"/>
        </w:rPr>
        <w:t>江西省肿瘤登记直报系统产品工作汇报</w:t>
      </w:r>
    </w:p>
    <w:p>
      <w:pPr>
        <w:spacing w:before="0" w:after="120" w:line="269" w:lineRule="auto"/>
        <w:jc w:val="center"/>
      </w:pPr>
      <w:r>
        <w:rPr>
          <w:rFonts w:ascii="Times New Roman" w:hAnsi="Times New Roman" w:eastAsia="宋体"/>
          <w:b w:val="0"/>
          <w:sz w:val="20"/>
        </w:rPr>
        <w:t>汇报单位：产品项目组　　汇报日期：2026 年 10 月</w:t>
      </w:r>
    </w:p>
    <w:p>
      <w:pPr>
        <w:spacing w:before="140" w:after="80" w:line="269" w:lineRule="auto"/>
        <w:jc w:val="center"/>
      </w:pPr>
      <w:r>
        <w:rPr>
          <w:rFonts w:ascii="Times New Roman" w:hAnsi="Times New Roman" w:eastAsia="黑体"/>
          <w:b w:val="0"/>
          <w:sz w:val="26"/>
        </w:rPr>
        <w:t>一、总体情况</w:t>
      </w:r>
    </w:p>
    <w:p>
      <w:pPr>
        <w:spacing w:before="0" w:after="60" w:line="269" w:lineRule="auto"/>
        <w:ind w:firstLine="400"/>
      </w:pPr>
      <w:r>
        <w:rPr>
          <w:rFonts w:ascii="Times New Roman" w:hAnsi="Times New Roman" w:eastAsia="宋体"/>
          <w:b w:val="0"/>
          <w:sz w:val="20"/>
        </w:rPr>
        <w:t>本系统是覆盖肿瘤防治全过程的全省信息化平台，贯通省、市、县、乡四级防治网络，按“省级主建、市县主用”模式建设。业务范围包括肿瘤登记、质量控制、专科画像、数据管理、监测预警、健康服务、综合管理七个方面，面向卫生健康管理人员、登记处工作人员、医疗机构医护人员和居民四类用户，按角色提供差异化功能界面与数据范围。</w:t>
      </w:r>
    </w:p>
    <w:p>
      <w:pPr>
        <w:spacing w:before="0" w:after="60" w:line="269" w:lineRule="auto"/>
        <w:ind w:firstLine="400"/>
      </w:pPr>
      <w:r>
        <w:rPr>
          <w:rFonts w:ascii="Times New Roman" w:hAnsi="Times New Roman" w:eastAsia="宋体"/>
          <w:b w:val="0"/>
          <w:sz w:val="20"/>
        </w:rPr>
        <w:t>系统建设前，全省肿瘤防治工作存在四方面突出问题：病例登记依赖人工填卡，漏报难以及时发现，统计完整性难以保证；各医疗机构疾病编码、分期等口径不统一，数据汇聚后难以比对使用；数据质量依靠事后检查通报，问题整改缺乏跟踪手段；资源配置决策缺少量化依据。本系统的各项功能均针对上述问题设计。</w:t>
      </w:r>
    </w:p>
    <w:p>
      <w:pPr>
        <w:spacing w:before="140" w:after="80" w:line="269" w:lineRule="auto"/>
        <w:jc w:val="center"/>
      </w:pPr>
      <w:r>
        <w:rPr>
          <w:rFonts w:ascii="Times New Roman" w:hAnsi="Times New Roman" w:eastAsia="黑体"/>
          <w:b w:val="0"/>
          <w:sz w:val="26"/>
        </w:rPr>
        <w:t>二、七个业务体系</w:t>
      </w:r>
    </w:p>
    <w:p>
      <w:pPr>
        <w:spacing w:before="140" w:after="60" w:line="269" w:lineRule="auto"/>
      </w:pPr>
      <w:r>
        <w:rPr>
          <w:rFonts w:ascii="Times New Roman" w:hAnsi="Times New Roman" w:eastAsia="黑体"/>
          <w:b w:val="0"/>
          <w:sz w:val="22"/>
        </w:rPr>
        <w:t>（一）肿瘤登记管理</w:t>
      </w:r>
    </w:p>
    <w:p>
      <w:pPr>
        <w:spacing w:before="0" w:after="60" w:line="269" w:lineRule="auto"/>
        <w:ind w:firstLine="400"/>
      </w:pPr>
      <w:r>
        <w:rPr>
          <w:rFonts w:ascii="Times New Roman" w:hAnsi="Times New Roman" w:eastAsia="宋体"/>
          <w:b w:val="0"/>
          <w:sz w:val="20"/>
        </w:rPr>
        <w:t>业务场景：临床医生确诊肿瘤患者后需要上报，登记员要判断哪些病例应登记、是否重复，报卡缺项需要补录，死亡病例需要回溯补登，全省数据还要对外共享。本模块是全省肿瘤病例进入统计口径的唯一入口，也是其余各体系的数据基础。</w:t>
      </w:r>
    </w:p>
    <w:tbl>
      <w:tblPr>
        <w:tblStyle w:val="TableGrid"/>
        <w:tblW w:type="auto" w:w="0"/>
        <w:jc w:val="center"/>
        <w:tblLayout w:type="fixed"/>
        <w:tblLook w:firstColumn="1" w:firstRow="1" w:lastColumn="0" w:lastRow="0" w:noHBand="0" w:noVBand="1" w:val="04A0"/>
      </w:tblPr>
      <w:tblGrid>
        <w:gridCol w:w="4819"/>
        <w:gridCol w:w="4819"/>
      </w:tblGrid>
      <w:tr>
        <w:tc>
          <w:tcPr>
            <w:tcW w:type="dxa" w:w="2381"/>
            <w:shd w:val="clear" w:color="auto" w:fill="E4E4E4"/>
          </w:tcPr>
          <w:p>
            <w:pPr>
              <w:spacing w:before="10" w:after="10" w:line="228" w:lineRule="auto"/>
              <w:jc w:val="center"/>
            </w:pPr>
            <w:r/>
            <w:r>
              <w:rPr>
                <w:rFonts w:ascii="Times New Roman" w:hAnsi="Times New Roman" w:eastAsia="黑体"/>
                <w:b/>
                <w:sz w:val="17"/>
              </w:rPr>
              <w:t>主要功能</w:t>
            </w:r>
          </w:p>
        </w:tc>
        <w:tc>
          <w:tcPr>
            <w:tcW w:type="dxa" w:w="6690"/>
            <w:shd w:val="clear" w:color="auto" w:fill="E4E4E4"/>
          </w:tcPr>
          <w:p>
            <w:pPr>
              <w:spacing w:before="10" w:after="10" w:line="228" w:lineRule="auto"/>
              <w:jc w:val="center"/>
            </w:pPr>
            <w:r/>
            <w:r>
              <w:rPr>
                <w:rFonts w:ascii="Times New Roman" w:hAnsi="Times New Roman" w:eastAsia="黑体"/>
                <w:b/>
                <w:sz w:val="17"/>
              </w:rPr>
              <w:t>实现方式</w:t>
            </w:r>
          </w:p>
        </w:tc>
      </w:tr>
      <w:tr>
        <w:tc>
          <w:tcPr>
            <w:tcW w:type="dxa" w:w="2381"/>
          </w:tcPr>
          <w:p>
            <w:pPr>
              <w:spacing w:before="10" w:after="10" w:line="228" w:lineRule="auto"/>
            </w:pPr>
            <w:r/>
            <w:r>
              <w:rPr>
                <w:rFonts w:ascii="Times New Roman" w:hAnsi="Times New Roman" w:eastAsia="宋体"/>
                <w:b w:val="0"/>
                <w:sz w:val="17"/>
              </w:rPr>
              <w:t>多种报卡方式</w:t>
            </w:r>
          </w:p>
        </w:tc>
        <w:tc>
          <w:tcPr>
            <w:tcW w:type="dxa" w:w="6690"/>
          </w:tcPr>
          <w:p>
            <w:pPr>
              <w:spacing w:before="10" w:after="10" w:line="228" w:lineRule="auto"/>
            </w:pPr>
            <w:r/>
            <w:r>
              <w:rPr>
                <w:rFonts w:ascii="Times New Roman" w:hAnsi="Times New Roman" w:eastAsia="宋体"/>
                <w:b w:val="0"/>
                <w:sz w:val="17"/>
              </w:rPr>
              <w:t>提供手工报卡、批量模板上传、病案首页自动提取、医院系统直连四种方式，医疗机构按自身信息化条件选择，不改变现有工作习惯</w:t>
            </w:r>
          </w:p>
        </w:tc>
      </w:tr>
      <w:tr>
        <w:tc>
          <w:tcPr>
            <w:tcW w:type="dxa" w:w="2381"/>
          </w:tcPr>
          <w:p>
            <w:pPr>
              <w:spacing w:before="10" w:after="10" w:line="228" w:lineRule="auto"/>
            </w:pPr>
            <w:r/>
            <w:r>
              <w:rPr>
                <w:rFonts w:ascii="Times New Roman" w:hAnsi="Times New Roman" w:eastAsia="宋体"/>
                <w:b w:val="0"/>
                <w:sz w:val="17"/>
              </w:rPr>
              <w:t>病例自动发现与编码</w:t>
            </w:r>
          </w:p>
        </w:tc>
        <w:tc>
          <w:tcPr>
            <w:tcW w:type="dxa" w:w="6690"/>
          </w:tcPr>
          <w:p>
            <w:pPr>
              <w:spacing w:before="10" w:after="10" w:line="228" w:lineRule="auto"/>
            </w:pPr>
            <w:r/>
            <w:r>
              <w:rPr>
                <w:rFonts w:ascii="Times New Roman" w:hAnsi="Times New Roman" w:eastAsia="宋体"/>
                <w:b w:val="0"/>
                <w:sz w:val="17"/>
              </w:rPr>
              <w:t>自动判定应登记病例并生成标准编码，存疑的转人工复核</w:t>
            </w:r>
          </w:p>
        </w:tc>
      </w:tr>
      <w:tr>
        <w:tc>
          <w:tcPr>
            <w:tcW w:type="dxa" w:w="2381"/>
          </w:tcPr>
          <w:p>
            <w:pPr>
              <w:spacing w:before="10" w:after="10" w:line="228" w:lineRule="auto"/>
            </w:pPr>
            <w:r/>
            <w:r>
              <w:rPr>
                <w:rFonts w:ascii="Times New Roman" w:hAnsi="Times New Roman" w:eastAsia="宋体"/>
                <w:b w:val="0"/>
                <w:sz w:val="17"/>
              </w:rPr>
              <w:t>缺项字段级补录</w:t>
            </w:r>
          </w:p>
        </w:tc>
        <w:tc>
          <w:tcPr>
            <w:tcW w:type="dxa" w:w="6690"/>
          </w:tcPr>
          <w:p>
            <w:pPr>
              <w:spacing w:before="10" w:after="10" w:line="228" w:lineRule="auto"/>
            </w:pPr>
            <w:r/>
            <w:r>
              <w:rPr>
                <w:rFonts w:ascii="Times New Roman" w:hAnsi="Times New Roman" w:eastAsia="宋体"/>
                <w:b w:val="0"/>
                <w:sz w:val="17"/>
              </w:rPr>
              <w:t>按缺失字段生成补录任务并逐级提醒，补录进度可跟踪，避免整卡退回重填</w:t>
            </w:r>
          </w:p>
        </w:tc>
      </w:tr>
      <w:tr>
        <w:tc>
          <w:tcPr>
            <w:tcW w:type="dxa" w:w="2381"/>
          </w:tcPr>
          <w:p>
            <w:pPr>
              <w:spacing w:before="10" w:after="10" w:line="228" w:lineRule="auto"/>
            </w:pPr>
            <w:r/>
            <w:r>
              <w:rPr>
                <w:rFonts w:ascii="Times New Roman" w:hAnsi="Times New Roman" w:eastAsia="宋体"/>
                <w:b w:val="0"/>
                <w:sz w:val="17"/>
              </w:rPr>
              <w:t>重复卡合并与多原发判定</w:t>
            </w:r>
          </w:p>
        </w:tc>
        <w:tc>
          <w:tcPr>
            <w:tcW w:type="dxa" w:w="6690"/>
          </w:tcPr>
          <w:p>
            <w:pPr>
              <w:spacing w:before="10" w:after="10" w:line="228" w:lineRule="auto"/>
            </w:pPr>
            <w:r/>
            <w:r>
              <w:rPr>
                <w:rFonts w:ascii="Times New Roman" w:hAnsi="Times New Roman" w:eastAsia="宋体"/>
                <w:b w:val="0"/>
                <w:sz w:val="17"/>
              </w:rPr>
              <w:t>多来源身份自动匹配，按国际规则区分新发、复发、转移；合并需审批留痕，保留全部来源卡与字段取值依据</w:t>
            </w:r>
          </w:p>
        </w:tc>
      </w:tr>
      <w:tr>
        <w:tc>
          <w:tcPr>
            <w:tcW w:type="dxa" w:w="2381"/>
          </w:tcPr>
          <w:p>
            <w:pPr>
              <w:spacing w:before="10" w:after="10" w:line="228" w:lineRule="auto"/>
            </w:pPr>
            <w:r/>
            <w:r>
              <w:rPr>
                <w:rFonts w:ascii="Times New Roman" w:hAnsi="Times New Roman" w:eastAsia="宋体"/>
                <w:b w:val="0"/>
                <w:sz w:val="17"/>
              </w:rPr>
              <w:t>死亡补发病闭环</w:t>
            </w:r>
          </w:p>
        </w:tc>
        <w:tc>
          <w:tcPr>
            <w:tcW w:type="dxa" w:w="6690"/>
          </w:tcPr>
          <w:p>
            <w:pPr>
              <w:spacing w:before="10" w:after="10" w:line="228" w:lineRule="auto"/>
            </w:pPr>
            <w:r/>
            <w:r>
              <w:rPr>
                <w:rFonts w:ascii="Times New Roman" w:hAnsi="Times New Roman" w:eastAsia="宋体"/>
                <w:b w:val="0"/>
                <w:sz w:val="17"/>
              </w:rPr>
              <w:t>全死因数据与发病登记自动比对，发现已死亡未登记病例后回溯补报</w:t>
            </w:r>
          </w:p>
        </w:tc>
      </w:tr>
      <w:tr>
        <w:tc>
          <w:tcPr>
            <w:tcW w:type="dxa" w:w="2381"/>
          </w:tcPr>
          <w:p>
            <w:pPr>
              <w:spacing w:before="10" w:after="10" w:line="228" w:lineRule="auto"/>
            </w:pPr>
            <w:r/>
            <w:r>
              <w:rPr>
                <w:rFonts w:ascii="Times New Roman" w:hAnsi="Times New Roman" w:eastAsia="宋体"/>
                <w:b w:val="0"/>
                <w:sz w:val="17"/>
              </w:rPr>
              <w:t>编码录入</w:t>
            </w:r>
          </w:p>
        </w:tc>
        <w:tc>
          <w:tcPr>
            <w:tcW w:type="dxa" w:w="6690"/>
          </w:tcPr>
          <w:p>
            <w:pPr>
              <w:spacing w:before="10" w:after="10" w:line="228" w:lineRule="auto"/>
            </w:pPr>
            <w:r/>
            <w:r>
              <w:rPr>
                <w:rFonts w:ascii="Times New Roman" w:hAnsi="Times New Roman" w:eastAsia="宋体"/>
                <w:b w:val="0"/>
                <w:sz w:val="17"/>
              </w:rPr>
              <w:t>填报人员选择发病部位、病理类型等中文名称，系统自动生成对应编码，编码可见可改并受字典校验</w:t>
            </w:r>
          </w:p>
        </w:tc>
      </w:tr>
      <w:tr>
        <w:tc>
          <w:tcPr>
            <w:tcW w:type="dxa" w:w="2381"/>
          </w:tcPr>
          <w:p>
            <w:pPr>
              <w:spacing w:before="10" w:after="10" w:line="228" w:lineRule="auto"/>
            </w:pPr>
            <w:r/>
            <w:r>
              <w:rPr>
                <w:rFonts w:ascii="Times New Roman" w:hAnsi="Times New Roman" w:eastAsia="宋体"/>
                <w:b w:val="0"/>
                <w:sz w:val="17"/>
              </w:rPr>
              <w:t>数据共享</w:t>
            </w:r>
          </w:p>
        </w:tc>
        <w:tc>
          <w:tcPr>
            <w:tcW w:type="dxa" w:w="6690"/>
          </w:tcPr>
          <w:p>
            <w:pPr>
              <w:spacing w:before="10" w:after="10" w:line="228" w:lineRule="auto"/>
            </w:pPr>
            <w:r/>
            <w:r>
              <w:rPr>
                <w:rFonts w:ascii="Times New Roman" w:hAnsi="Times New Roman" w:eastAsia="宋体"/>
                <w:b w:val="0"/>
                <w:sz w:val="17"/>
              </w:rPr>
              <w:t>对外供数按申请、审批、交付、监控流程管理，脱敏级别和允许字段可精细控制</w:t>
            </w:r>
          </w:p>
        </w:tc>
      </w:tr>
    </w:tbl>
    <w:p>
      <w:pPr>
        <w:spacing w:before="140" w:after="60" w:line="269" w:lineRule="auto"/>
      </w:pPr>
      <w:r>
        <w:rPr>
          <w:rFonts w:ascii="Times New Roman" w:hAnsi="Times New Roman" w:eastAsia="黑体"/>
          <w:b w:val="0"/>
          <w:sz w:val="22"/>
        </w:rPr>
        <w:t>（二）肿瘤质控管理</w:t>
      </w:r>
    </w:p>
    <w:p>
      <w:pPr>
        <w:spacing w:before="0" w:after="60" w:line="269" w:lineRule="auto"/>
        <w:ind w:firstLine="400"/>
      </w:pPr>
      <w:r>
        <w:rPr>
          <w:rFonts w:ascii="Times New Roman" w:hAnsi="Times New Roman" w:eastAsia="宋体"/>
          <w:b w:val="0"/>
          <w:sz w:val="20"/>
        </w:rPr>
        <w:t>业务场景：报卡医生提交病案首页时要当场判断编码是否合规，质控人员要核验确诊依据、病理报告、分期结论和诊疗路径，基层疑难病例需要上级专家会诊，全省数据质量还要能横向比较和考核。本模块围绕诊疗全过程实施数据质量监督，从以事后检查为主转向全过程管理。</w:t>
      </w:r>
    </w:p>
    <w:tbl>
      <w:tblPr>
        <w:tblStyle w:val="TableGrid"/>
        <w:tblW w:type="auto" w:w="0"/>
        <w:jc w:val="center"/>
        <w:tblLayout w:type="fixed"/>
        <w:tblLook w:firstColumn="1" w:firstRow="1" w:lastColumn="0" w:lastRow="0" w:noHBand="0" w:noVBand="1" w:val="04A0"/>
      </w:tblPr>
      <w:tblGrid>
        <w:gridCol w:w="4819"/>
        <w:gridCol w:w="4819"/>
      </w:tblGrid>
      <w:tr>
        <w:tc>
          <w:tcPr>
            <w:tcW w:type="dxa" w:w="2381"/>
            <w:shd w:val="clear" w:color="auto" w:fill="E4E4E4"/>
          </w:tcPr>
          <w:p>
            <w:pPr>
              <w:spacing w:before="10" w:after="10" w:line="228" w:lineRule="auto"/>
              <w:jc w:val="center"/>
            </w:pPr>
            <w:r/>
            <w:r>
              <w:rPr>
                <w:rFonts w:ascii="Times New Roman" w:hAnsi="Times New Roman" w:eastAsia="黑体"/>
                <w:b/>
                <w:sz w:val="17"/>
              </w:rPr>
              <w:t>质控类别</w:t>
            </w:r>
          </w:p>
        </w:tc>
        <w:tc>
          <w:tcPr>
            <w:tcW w:type="dxa" w:w="6690"/>
            <w:shd w:val="clear" w:color="auto" w:fill="E4E4E4"/>
          </w:tcPr>
          <w:p>
            <w:pPr>
              <w:spacing w:before="10" w:after="10" w:line="228" w:lineRule="auto"/>
              <w:jc w:val="center"/>
            </w:pPr>
            <w:r/>
            <w:r>
              <w:rPr>
                <w:rFonts w:ascii="Times New Roman" w:hAnsi="Times New Roman" w:eastAsia="黑体"/>
                <w:b/>
                <w:sz w:val="17"/>
              </w:rPr>
              <w:t>质控内容</w:t>
            </w:r>
          </w:p>
        </w:tc>
      </w:tr>
      <w:tr>
        <w:tc>
          <w:tcPr>
            <w:tcW w:type="dxa" w:w="2381"/>
          </w:tcPr>
          <w:p>
            <w:pPr>
              <w:spacing w:before="10" w:after="10" w:line="228" w:lineRule="auto"/>
            </w:pPr>
            <w:r/>
            <w:r>
              <w:rPr>
                <w:rFonts w:ascii="Times New Roman" w:hAnsi="Times New Roman" w:eastAsia="宋体"/>
                <w:b w:val="0"/>
                <w:sz w:val="17"/>
              </w:rPr>
              <w:t>病案首页质控</w:t>
            </w:r>
          </w:p>
        </w:tc>
        <w:tc>
          <w:tcPr>
            <w:tcW w:type="dxa" w:w="6690"/>
          </w:tcPr>
          <w:p>
            <w:pPr>
              <w:spacing w:before="10" w:after="10" w:line="228" w:lineRule="auto"/>
            </w:pPr>
            <w:r/>
            <w:r>
              <w:rPr>
                <w:rFonts w:ascii="Times New Roman" w:hAnsi="Times New Roman" w:eastAsia="宋体"/>
                <w:b w:val="0"/>
                <w:sz w:val="17"/>
              </w:rPr>
              <w:t>提交即校验诊断编码合规性，问题当场拦截，不带病入库</w:t>
            </w:r>
          </w:p>
        </w:tc>
      </w:tr>
      <w:tr>
        <w:tc>
          <w:tcPr>
            <w:tcW w:type="dxa" w:w="2381"/>
          </w:tcPr>
          <w:p>
            <w:pPr>
              <w:spacing w:before="10" w:after="10" w:line="228" w:lineRule="auto"/>
            </w:pPr>
            <w:r/>
            <w:r>
              <w:rPr>
                <w:rFonts w:ascii="Times New Roman" w:hAnsi="Times New Roman" w:eastAsia="宋体"/>
                <w:b w:val="0"/>
                <w:sz w:val="17"/>
              </w:rPr>
              <w:t>确诊病例质控</w:t>
            </w:r>
          </w:p>
        </w:tc>
        <w:tc>
          <w:tcPr>
            <w:tcW w:type="dxa" w:w="6690"/>
          </w:tcPr>
          <w:p>
            <w:pPr>
              <w:spacing w:before="10" w:after="10" w:line="228" w:lineRule="auto"/>
            </w:pPr>
            <w:r/>
            <w:r>
              <w:rPr>
                <w:rFonts w:ascii="Times New Roman" w:hAnsi="Times New Roman" w:eastAsia="宋体"/>
                <w:b w:val="0"/>
                <w:sz w:val="17"/>
              </w:rPr>
              <w:t>核验确诊依据、分期与诊断互证，识别重复确诊</w:t>
            </w:r>
          </w:p>
        </w:tc>
      </w:tr>
      <w:tr>
        <w:tc>
          <w:tcPr>
            <w:tcW w:type="dxa" w:w="2381"/>
          </w:tcPr>
          <w:p>
            <w:pPr>
              <w:spacing w:before="10" w:after="10" w:line="228" w:lineRule="auto"/>
            </w:pPr>
            <w:r/>
            <w:r>
              <w:rPr>
                <w:rFonts w:ascii="Times New Roman" w:hAnsi="Times New Roman" w:eastAsia="宋体"/>
                <w:b w:val="0"/>
                <w:sz w:val="17"/>
              </w:rPr>
              <w:t>病理信息质控</w:t>
            </w:r>
          </w:p>
        </w:tc>
        <w:tc>
          <w:tcPr>
            <w:tcW w:type="dxa" w:w="6690"/>
          </w:tcPr>
          <w:p>
            <w:pPr>
              <w:spacing w:before="10" w:after="10" w:line="228" w:lineRule="auto"/>
            </w:pPr>
            <w:r/>
            <w:r>
              <w:rPr>
                <w:rFonts w:ascii="Times New Roman" w:hAnsi="Times New Roman" w:eastAsia="宋体"/>
                <w:b w:val="0"/>
                <w:sz w:val="17"/>
              </w:rPr>
              <w:t>校验报告完整性、良恶性判定一致性，报告原文和显微图像可在线调阅</w:t>
            </w:r>
          </w:p>
        </w:tc>
      </w:tr>
      <w:tr>
        <w:tc>
          <w:tcPr>
            <w:tcW w:type="dxa" w:w="2381"/>
          </w:tcPr>
          <w:p>
            <w:pPr>
              <w:spacing w:before="10" w:after="10" w:line="228" w:lineRule="auto"/>
            </w:pPr>
            <w:r/>
            <w:r>
              <w:rPr>
                <w:rFonts w:ascii="Times New Roman" w:hAnsi="Times New Roman" w:eastAsia="宋体"/>
                <w:b w:val="0"/>
                <w:sz w:val="17"/>
              </w:rPr>
              <w:t>TNM 分期质控</w:t>
            </w:r>
          </w:p>
        </w:tc>
        <w:tc>
          <w:tcPr>
            <w:tcW w:type="dxa" w:w="6690"/>
          </w:tcPr>
          <w:p>
            <w:pPr>
              <w:spacing w:before="10" w:after="10" w:line="228" w:lineRule="auto"/>
            </w:pPr>
            <w:r/>
            <w:r>
              <w:rPr>
                <w:rFonts w:ascii="Times New Roman" w:hAnsi="Times New Roman" w:eastAsia="宋体"/>
                <w:b w:val="0"/>
                <w:sz w:val="17"/>
              </w:rPr>
              <w:t>按癌种分期模板自动判定，结论需有影像、病理佐证可溯</w:t>
            </w:r>
          </w:p>
        </w:tc>
      </w:tr>
      <w:tr>
        <w:tc>
          <w:tcPr>
            <w:tcW w:type="dxa" w:w="2381"/>
          </w:tcPr>
          <w:p>
            <w:pPr>
              <w:spacing w:before="10" w:after="10" w:line="228" w:lineRule="auto"/>
            </w:pPr>
            <w:r/>
            <w:r>
              <w:rPr>
                <w:rFonts w:ascii="Times New Roman" w:hAnsi="Times New Roman" w:eastAsia="宋体"/>
                <w:b w:val="0"/>
                <w:sz w:val="17"/>
              </w:rPr>
              <w:t>专病病程质控</w:t>
            </w:r>
          </w:p>
        </w:tc>
        <w:tc>
          <w:tcPr>
            <w:tcW w:type="dxa" w:w="6690"/>
          </w:tcPr>
          <w:p>
            <w:pPr>
              <w:spacing w:before="10" w:after="10" w:line="228" w:lineRule="auto"/>
            </w:pPr>
            <w:r/>
            <w:r>
              <w:rPr>
                <w:rFonts w:ascii="Times New Roman" w:hAnsi="Times New Roman" w:eastAsia="宋体"/>
                <w:b w:val="0"/>
                <w:sz w:val="17"/>
              </w:rPr>
              <w:t>评价诊疗路径符合度、关键节点时效和治疗方案合理性</w:t>
            </w:r>
          </w:p>
        </w:tc>
      </w:tr>
      <w:tr>
        <w:tc>
          <w:tcPr>
            <w:tcW w:type="dxa" w:w="2381"/>
          </w:tcPr>
          <w:p>
            <w:pPr>
              <w:spacing w:before="10" w:after="10" w:line="228" w:lineRule="auto"/>
            </w:pPr>
            <w:r/>
            <w:r>
              <w:rPr>
                <w:rFonts w:ascii="Times New Roman" w:hAnsi="Times New Roman" w:eastAsia="宋体"/>
                <w:b w:val="0"/>
                <w:sz w:val="17"/>
              </w:rPr>
              <w:t>MDT 与远程会诊质控</w:t>
            </w:r>
          </w:p>
        </w:tc>
        <w:tc>
          <w:tcPr>
            <w:tcW w:type="dxa" w:w="6690"/>
          </w:tcPr>
          <w:p>
            <w:pPr>
              <w:spacing w:before="10" w:after="10" w:line="228" w:lineRule="auto"/>
            </w:pPr>
            <w:r/>
            <w:r>
              <w:rPr>
                <w:rFonts w:ascii="Times New Roman" w:hAnsi="Times New Roman" w:eastAsia="宋体"/>
                <w:b w:val="0"/>
                <w:sz w:val="17"/>
              </w:rPr>
              <w:t>留存会诊申请与专家结论，评价答复质量，跟踪结果回传</w:t>
            </w:r>
          </w:p>
        </w:tc>
      </w:tr>
      <w:tr>
        <w:tc>
          <w:tcPr>
            <w:tcW w:type="dxa" w:w="2381"/>
          </w:tcPr>
          <w:p>
            <w:pPr>
              <w:spacing w:before="10" w:after="10" w:line="228" w:lineRule="auto"/>
            </w:pPr>
            <w:r/>
            <w:r>
              <w:rPr>
                <w:rFonts w:ascii="Times New Roman" w:hAnsi="Times New Roman" w:eastAsia="宋体"/>
                <w:b w:val="0"/>
                <w:sz w:val="17"/>
              </w:rPr>
              <w:t>人群纳管与全域绩效</w:t>
            </w:r>
          </w:p>
        </w:tc>
        <w:tc>
          <w:tcPr>
            <w:tcW w:type="dxa" w:w="6690"/>
          </w:tcPr>
          <w:p>
            <w:pPr>
              <w:spacing w:before="10" w:after="10" w:line="228" w:lineRule="auto"/>
            </w:pPr>
            <w:r/>
            <w:r>
              <w:rPr>
                <w:rFonts w:ascii="Times New Roman" w:hAnsi="Times New Roman" w:eastAsia="宋体"/>
                <w:b w:val="0"/>
                <w:sz w:val="17"/>
              </w:rPr>
              <w:t>执行高危人群纳管标准，统一评价数据质量并按机构绩效横向对比</w:t>
            </w:r>
          </w:p>
        </w:tc>
      </w:tr>
    </w:tbl>
    <w:p>
      <w:pPr>
        <w:spacing w:before="60" w:after="60" w:line="269" w:lineRule="auto"/>
        <w:ind w:firstLine="400"/>
      </w:pPr>
      <w:r>
        <w:rPr>
          <w:rFonts w:ascii="Times New Roman" w:hAnsi="Times New Roman" w:eastAsia="宋体"/>
          <w:b w:val="0"/>
          <w:sz w:val="20"/>
        </w:rPr>
        <w:t>质控工作按“看板—规则—被质控数据—问题闭环”四个环节组织，质控人员发现异常后可下钻查看判定依据和原始记录，确认后纳入整改。整改全程工单化，处理有时限、修改留痕、责任可追溯，质控指标计入单位评分和排名。指标口径统一规定：病理确诊率不低于 66%，仅凭死亡证明登记比例不高于 15%，死亡发病比按癌种参考区间执行；比率类指标均显示分子分母，缺少分母的不予出数。</w:t>
      </w:r>
    </w:p>
    <w:p>
      <w:pPr>
        <w:spacing w:before="140" w:after="60" w:line="269" w:lineRule="auto"/>
      </w:pPr>
      <w:r>
        <w:rPr>
          <w:rFonts w:ascii="Times New Roman" w:hAnsi="Times New Roman" w:eastAsia="黑体"/>
          <w:b w:val="0"/>
          <w:sz w:val="22"/>
        </w:rPr>
        <w:t>（三）肿瘤专科画像</w:t>
      </w:r>
    </w:p>
    <w:p>
      <w:pPr>
        <w:spacing w:before="0" w:after="60" w:line="269" w:lineRule="auto"/>
        <w:ind w:firstLine="400"/>
      </w:pPr>
      <w:r>
        <w:rPr>
          <w:rFonts w:ascii="Times New Roman" w:hAnsi="Times New Roman" w:eastAsia="宋体"/>
          <w:b w:val="0"/>
          <w:sz w:val="20"/>
        </w:rPr>
        <w:t>业务场景：患者入院建档时医生需要一次性把关键信息采齐，治疗过程中疗效评价、用药方案是否规范需要核验，出院或死亡后生存状态等结局信息容易缺失，地区管理人员还需要了解本地防治链条哪一环存在短板。本模块以患者为中心，按入院建档、治疗过程、结局管理三个阶段实施数据治理。</w:t>
      </w:r>
    </w:p>
    <w:tbl>
      <w:tblPr>
        <w:tblStyle w:val="TableGrid"/>
        <w:tblW w:type="auto" w:w="0"/>
        <w:jc w:val="center"/>
        <w:tblLayout w:type="fixed"/>
        <w:tblLook w:firstColumn="1" w:firstRow="1" w:lastColumn="0" w:lastRow="0" w:noHBand="0" w:noVBand="1" w:val="04A0"/>
      </w:tblPr>
      <w:tblGrid>
        <w:gridCol w:w="4819"/>
        <w:gridCol w:w="4819"/>
      </w:tblGrid>
      <w:tr>
        <w:tc>
          <w:tcPr>
            <w:tcW w:type="dxa" w:w="2041"/>
            <w:shd w:val="clear" w:color="auto" w:fill="E4E4E4"/>
          </w:tcPr>
          <w:p>
            <w:pPr>
              <w:spacing w:before="10" w:after="10" w:line="228" w:lineRule="auto"/>
              <w:jc w:val="center"/>
            </w:pPr>
            <w:r/>
            <w:r>
              <w:rPr>
                <w:rFonts w:ascii="Times New Roman" w:hAnsi="Times New Roman" w:eastAsia="黑体"/>
                <w:b/>
                <w:sz w:val="17"/>
              </w:rPr>
              <w:t>阶段</w:t>
            </w:r>
          </w:p>
        </w:tc>
        <w:tc>
          <w:tcPr>
            <w:tcW w:type="dxa" w:w="7030"/>
            <w:shd w:val="clear" w:color="auto" w:fill="E4E4E4"/>
          </w:tcPr>
          <w:p>
            <w:pPr>
              <w:spacing w:before="10" w:after="10" w:line="228" w:lineRule="auto"/>
              <w:jc w:val="center"/>
            </w:pPr>
            <w:r/>
            <w:r>
              <w:rPr>
                <w:rFonts w:ascii="Times New Roman" w:hAnsi="Times New Roman" w:eastAsia="黑体"/>
                <w:b/>
                <w:sz w:val="17"/>
              </w:rPr>
              <w:t>功能内容</w:t>
            </w:r>
          </w:p>
        </w:tc>
      </w:tr>
      <w:tr>
        <w:tc>
          <w:tcPr>
            <w:tcW w:type="dxa" w:w="2041"/>
          </w:tcPr>
          <w:p>
            <w:pPr>
              <w:spacing w:before="10" w:after="10" w:line="228" w:lineRule="auto"/>
            </w:pPr>
            <w:r/>
            <w:r>
              <w:rPr>
                <w:rFonts w:ascii="Times New Roman" w:hAnsi="Times New Roman" w:eastAsia="宋体"/>
                <w:b w:val="0"/>
                <w:sz w:val="17"/>
              </w:rPr>
              <w:t>事前（入院建档）</w:t>
            </w:r>
          </w:p>
        </w:tc>
        <w:tc>
          <w:tcPr>
            <w:tcW w:type="dxa" w:w="7030"/>
          </w:tcPr>
          <w:p>
            <w:pPr>
              <w:spacing w:before="10" w:after="10" w:line="228" w:lineRule="auto"/>
            </w:pPr>
            <w:r/>
            <w:r>
              <w:rPr>
                <w:rFonts w:ascii="Times New Roman" w:hAnsi="Times New Roman" w:eastAsia="宋体"/>
                <w:b w:val="0"/>
                <w:sz w:val="17"/>
              </w:rPr>
              <w:t>核心要素嵌入采集，画像实时预生成并显示完整度；高优先级问题未解决不允许提交，缺项智能推荐补录内容</w:t>
            </w:r>
          </w:p>
        </w:tc>
      </w:tr>
      <w:tr>
        <w:tc>
          <w:tcPr>
            <w:tcW w:type="dxa" w:w="2041"/>
          </w:tcPr>
          <w:p>
            <w:pPr>
              <w:spacing w:before="10" w:after="10" w:line="228" w:lineRule="auto"/>
            </w:pPr>
            <w:r/>
            <w:r>
              <w:rPr>
                <w:rFonts w:ascii="Times New Roman" w:hAnsi="Times New Roman" w:eastAsia="宋体"/>
                <w:b w:val="0"/>
                <w:sz w:val="17"/>
              </w:rPr>
              <w:t>事中（治疗过程）</w:t>
            </w:r>
          </w:p>
        </w:tc>
        <w:tc>
          <w:tcPr>
            <w:tcW w:type="dxa" w:w="7030"/>
          </w:tcPr>
          <w:p>
            <w:pPr>
              <w:spacing w:before="10" w:after="10" w:line="228" w:lineRule="auto"/>
            </w:pPr>
            <w:r/>
            <w:r>
              <w:rPr>
                <w:rFonts w:ascii="Times New Roman" w:hAnsi="Times New Roman" w:eastAsia="宋体"/>
                <w:b w:val="0"/>
                <w:sz w:val="17"/>
              </w:rPr>
              <w:t>动态对接检查、检验、病历、放化疗系统，自动核验疗效评价、用药方案和不良反应分级，存疑的提示人工复核；偏差识别、责任定位、超时升级</w:t>
            </w:r>
          </w:p>
        </w:tc>
      </w:tr>
      <w:tr>
        <w:tc>
          <w:tcPr>
            <w:tcW w:type="dxa" w:w="2041"/>
          </w:tcPr>
          <w:p>
            <w:pPr>
              <w:spacing w:before="10" w:after="10" w:line="228" w:lineRule="auto"/>
            </w:pPr>
            <w:r/>
            <w:r>
              <w:rPr>
                <w:rFonts w:ascii="Times New Roman" w:hAnsi="Times New Roman" w:eastAsia="宋体"/>
                <w:b w:val="0"/>
                <w:sz w:val="17"/>
              </w:rPr>
              <w:t>事末（结局管理）</w:t>
            </w:r>
          </w:p>
        </w:tc>
        <w:tc>
          <w:tcPr>
            <w:tcW w:type="dxa" w:w="7030"/>
          </w:tcPr>
          <w:p>
            <w:pPr>
              <w:spacing w:before="10" w:after="10" w:line="228" w:lineRule="auto"/>
            </w:pPr>
            <w:r/>
            <w:r>
              <w:rPr>
                <w:rFonts w:ascii="Times New Roman" w:hAnsi="Times New Roman" w:eastAsia="宋体"/>
                <w:b w:val="0"/>
                <w:sz w:val="17"/>
              </w:rPr>
              <w:t>结构化采集生存状态、死亡原因、转移情况，回溯验证病案编码，高风险病例拦截归档并触发多学科审核</w:t>
            </w:r>
          </w:p>
        </w:tc>
      </w:tr>
      <w:tr>
        <w:tc>
          <w:tcPr>
            <w:tcW w:type="dxa" w:w="2041"/>
          </w:tcPr>
          <w:p>
            <w:pPr>
              <w:spacing w:before="10" w:after="10" w:line="228" w:lineRule="auto"/>
            </w:pPr>
            <w:r/>
            <w:r>
              <w:rPr>
                <w:rFonts w:ascii="Times New Roman" w:hAnsi="Times New Roman" w:eastAsia="宋体"/>
                <w:b w:val="0"/>
                <w:sz w:val="17"/>
              </w:rPr>
              <w:t>群体画像</w:t>
            </w:r>
          </w:p>
        </w:tc>
        <w:tc>
          <w:tcPr>
            <w:tcW w:type="dxa" w:w="7030"/>
          </w:tcPr>
          <w:p>
            <w:pPr>
              <w:spacing w:before="10" w:after="10" w:line="228" w:lineRule="auto"/>
            </w:pPr>
            <w:r/>
            <w:r>
              <w:rPr>
                <w:rFonts w:ascii="Times New Roman" w:hAnsi="Times New Roman" w:eastAsia="宋体"/>
                <w:b w:val="0"/>
                <w:sz w:val="17"/>
              </w:rPr>
              <w:t>按疾病负担、早期发现、规范诊疗、生存结局、资源与公平五方面组织，以级联方式展示患者流转和环节流失情况，并显示各项指标与全省基准的差值</w:t>
            </w:r>
          </w:p>
        </w:tc>
      </w:tr>
    </w:tbl>
    <w:p>
      <w:pPr>
        <w:spacing w:before="140" w:after="60" w:line="269" w:lineRule="auto"/>
      </w:pPr>
      <w:r>
        <w:rPr>
          <w:rFonts w:ascii="Times New Roman" w:hAnsi="Times New Roman" w:eastAsia="黑体"/>
          <w:b w:val="0"/>
          <w:sz w:val="22"/>
        </w:rPr>
        <w:t>（四）肿瘤数据中心</w:t>
      </w:r>
    </w:p>
    <w:p>
      <w:pPr>
        <w:spacing w:before="0" w:after="60" w:line="269" w:lineRule="auto"/>
        <w:ind w:firstLine="400"/>
      </w:pPr>
      <w:r>
        <w:rPr>
          <w:rFonts w:ascii="Times New Roman" w:hAnsi="Times New Roman" w:eastAsia="宋体"/>
          <w:b w:val="0"/>
          <w:sz w:val="20"/>
        </w:rPr>
        <w:t>业务场景：同一患者在不同医院和筛查系统中的登记信息往往不一致，肿瘤患者治疗结束后需要长期随访跟踪，死因数据来自多个渠道质量参差，年报发布后对某个数字有疑问时需要追溯来源。本模块承担全省肿瘤数据的归集、融合和共享职能，由七类信息库构成。</w:t>
      </w:r>
    </w:p>
    <w:tbl>
      <w:tblPr>
        <w:tblStyle w:val="TableGrid"/>
        <w:tblW w:type="auto" w:w="0"/>
        <w:jc w:val="center"/>
        <w:tblLayout w:type="fixed"/>
        <w:tblLook w:firstColumn="1" w:firstRow="1" w:lastColumn="0" w:lastRow="0" w:noHBand="0" w:noVBand="1" w:val="04A0"/>
      </w:tblPr>
      <w:tblGrid>
        <w:gridCol w:w="4819"/>
        <w:gridCol w:w="4819"/>
      </w:tblGrid>
      <w:tr>
        <w:tc>
          <w:tcPr>
            <w:tcW w:type="dxa" w:w="2041"/>
            <w:shd w:val="clear" w:color="auto" w:fill="E4E4E4"/>
          </w:tcPr>
          <w:p>
            <w:pPr>
              <w:spacing w:before="10" w:after="10" w:line="228" w:lineRule="auto"/>
              <w:jc w:val="center"/>
            </w:pPr>
            <w:r/>
            <w:r>
              <w:rPr>
                <w:rFonts w:ascii="Times New Roman" w:hAnsi="Times New Roman" w:eastAsia="黑体"/>
                <w:b/>
                <w:sz w:val="17"/>
              </w:rPr>
              <w:t>信息库</w:t>
            </w:r>
          </w:p>
        </w:tc>
        <w:tc>
          <w:tcPr>
            <w:tcW w:type="dxa" w:w="7030"/>
            <w:shd w:val="clear" w:color="auto" w:fill="E4E4E4"/>
          </w:tcPr>
          <w:p>
            <w:pPr>
              <w:spacing w:before="10" w:after="10" w:line="228" w:lineRule="auto"/>
              <w:jc w:val="center"/>
            </w:pPr>
            <w:r/>
            <w:r>
              <w:rPr>
                <w:rFonts w:ascii="Times New Roman" w:hAnsi="Times New Roman" w:eastAsia="黑体"/>
                <w:b/>
                <w:sz w:val="17"/>
              </w:rPr>
              <w:t>主要内容</w:t>
            </w:r>
          </w:p>
        </w:tc>
      </w:tr>
      <w:tr>
        <w:tc>
          <w:tcPr>
            <w:tcW w:type="dxa" w:w="2041"/>
          </w:tcPr>
          <w:p>
            <w:pPr>
              <w:spacing w:before="10" w:after="10" w:line="228" w:lineRule="auto"/>
            </w:pPr>
            <w:r/>
            <w:r>
              <w:rPr>
                <w:rFonts w:ascii="Times New Roman" w:hAnsi="Times New Roman" w:eastAsia="宋体"/>
                <w:b w:val="0"/>
                <w:sz w:val="17"/>
              </w:rPr>
              <w:t>患者全生命周期库</w:t>
            </w:r>
          </w:p>
        </w:tc>
        <w:tc>
          <w:tcPr>
            <w:tcW w:type="dxa" w:w="7030"/>
          </w:tcPr>
          <w:p>
            <w:pPr>
              <w:spacing w:before="10" w:after="10" w:line="228" w:lineRule="auto"/>
            </w:pPr>
            <w:r/>
            <w:r>
              <w:rPr>
                <w:rFonts w:ascii="Times New Roman" w:hAnsi="Times New Roman" w:eastAsia="宋体"/>
                <w:b w:val="0"/>
                <w:sz w:val="17"/>
              </w:rPr>
              <w:t>患者主索引、全周期事件时间轴、结构化事件、生存结局</w:t>
            </w:r>
          </w:p>
        </w:tc>
      </w:tr>
      <w:tr>
        <w:tc>
          <w:tcPr>
            <w:tcW w:type="dxa" w:w="2041"/>
          </w:tcPr>
          <w:p>
            <w:pPr>
              <w:spacing w:before="10" w:after="10" w:line="228" w:lineRule="auto"/>
            </w:pPr>
            <w:r/>
            <w:r>
              <w:rPr>
                <w:rFonts w:ascii="Times New Roman" w:hAnsi="Times New Roman" w:eastAsia="宋体"/>
                <w:b w:val="0"/>
                <w:sz w:val="17"/>
              </w:rPr>
              <w:t>癌症筛查信息库</w:t>
            </w:r>
          </w:p>
        </w:tc>
        <w:tc>
          <w:tcPr>
            <w:tcW w:type="dxa" w:w="7030"/>
          </w:tcPr>
          <w:p>
            <w:pPr>
              <w:spacing w:before="10" w:after="10" w:line="228" w:lineRule="auto"/>
            </w:pPr>
            <w:r/>
            <w:r>
              <w:rPr>
                <w:rFonts w:ascii="Times New Roman" w:hAnsi="Times New Roman" w:eastAsia="宋体"/>
                <w:b w:val="0"/>
                <w:sz w:val="17"/>
              </w:rPr>
              <w:t>居民登记、高危评估、检查结果、阳性转诊追踪</w:t>
            </w:r>
          </w:p>
        </w:tc>
      </w:tr>
      <w:tr>
        <w:tc>
          <w:tcPr>
            <w:tcW w:type="dxa" w:w="2041"/>
          </w:tcPr>
          <w:p>
            <w:pPr>
              <w:spacing w:before="10" w:after="10" w:line="228" w:lineRule="auto"/>
            </w:pPr>
            <w:r/>
            <w:r>
              <w:rPr>
                <w:rFonts w:ascii="Times New Roman" w:hAnsi="Times New Roman" w:eastAsia="宋体"/>
                <w:b w:val="0"/>
                <w:sz w:val="17"/>
              </w:rPr>
              <w:t>发病信息库</w:t>
            </w:r>
          </w:p>
        </w:tc>
        <w:tc>
          <w:tcPr>
            <w:tcW w:type="dxa" w:w="7030"/>
          </w:tcPr>
          <w:p>
            <w:pPr>
              <w:spacing w:before="10" w:after="10" w:line="228" w:lineRule="auto"/>
            </w:pPr>
            <w:r/>
            <w:r>
              <w:rPr>
                <w:rFonts w:ascii="Times New Roman" w:hAnsi="Times New Roman" w:eastAsia="宋体"/>
                <w:b w:val="0"/>
                <w:sz w:val="17"/>
              </w:rPr>
              <w:t>新发病例主记录、标准化核心字段、多源对账、漏报分析</w:t>
            </w:r>
          </w:p>
        </w:tc>
      </w:tr>
      <w:tr>
        <w:tc>
          <w:tcPr>
            <w:tcW w:type="dxa" w:w="2041"/>
          </w:tcPr>
          <w:p>
            <w:pPr>
              <w:spacing w:before="10" w:after="10" w:line="228" w:lineRule="auto"/>
            </w:pPr>
            <w:r/>
            <w:r>
              <w:rPr>
                <w:rFonts w:ascii="Times New Roman" w:hAnsi="Times New Roman" w:eastAsia="宋体"/>
                <w:b w:val="0"/>
                <w:sz w:val="17"/>
              </w:rPr>
              <w:t>死亡信息库</w:t>
            </w:r>
          </w:p>
        </w:tc>
        <w:tc>
          <w:tcPr>
            <w:tcW w:type="dxa" w:w="7030"/>
          </w:tcPr>
          <w:p>
            <w:pPr>
              <w:spacing w:before="10" w:after="10" w:line="228" w:lineRule="auto"/>
            </w:pPr>
            <w:r/>
            <w:r>
              <w:rPr>
                <w:rFonts w:ascii="Times New Roman" w:hAnsi="Times New Roman" w:eastAsia="宋体"/>
                <w:b w:val="0"/>
                <w:sz w:val="17"/>
              </w:rPr>
              <w:t>死亡事件、死因链标准化编码、肿瘤相关死亡判定、三库互校</w:t>
            </w:r>
          </w:p>
        </w:tc>
      </w:tr>
      <w:tr>
        <w:tc>
          <w:tcPr>
            <w:tcW w:type="dxa" w:w="2041"/>
          </w:tcPr>
          <w:p>
            <w:pPr>
              <w:spacing w:before="10" w:after="10" w:line="228" w:lineRule="auto"/>
            </w:pPr>
            <w:r/>
            <w:r>
              <w:rPr>
                <w:rFonts w:ascii="Times New Roman" w:hAnsi="Times New Roman" w:eastAsia="宋体"/>
                <w:b w:val="0"/>
                <w:sz w:val="17"/>
              </w:rPr>
              <w:t>随访信息库</w:t>
            </w:r>
          </w:p>
        </w:tc>
        <w:tc>
          <w:tcPr>
            <w:tcW w:type="dxa" w:w="7030"/>
          </w:tcPr>
          <w:p>
            <w:pPr>
              <w:spacing w:before="10" w:after="10" w:line="228" w:lineRule="auto"/>
            </w:pPr>
            <w:r/>
            <w:r>
              <w:rPr>
                <w:rFonts w:ascii="Times New Roman" w:hAnsi="Times New Roman" w:eastAsia="宋体"/>
                <w:b w:val="0"/>
                <w:sz w:val="17"/>
              </w:rPr>
              <w:t>随访计划任务、执行记录、复发转移随访、失访预警、生存分析</w:t>
            </w:r>
          </w:p>
        </w:tc>
      </w:tr>
      <w:tr>
        <w:tc>
          <w:tcPr>
            <w:tcW w:type="dxa" w:w="2041"/>
          </w:tcPr>
          <w:p>
            <w:pPr>
              <w:spacing w:before="10" w:after="10" w:line="228" w:lineRule="auto"/>
            </w:pPr>
            <w:r/>
            <w:r>
              <w:rPr>
                <w:rFonts w:ascii="Times New Roman" w:hAnsi="Times New Roman" w:eastAsia="宋体"/>
                <w:b w:val="0"/>
                <w:sz w:val="17"/>
              </w:rPr>
              <w:t>科普知识库</w:t>
            </w:r>
          </w:p>
        </w:tc>
        <w:tc>
          <w:tcPr>
            <w:tcW w:type="dxa" w:w="7030"/>
          </w:tcPr>
          <w:p>
            <w:pPr>
              <w:spacing w:before="10" w:after="10" w:line="228" w:lineRule="auto"/>
            </w:pPr>
            <w:r/>
            <w:r>
              <w:rPr>
                <w:rFonts w:ascii="Times New Roman" w:hAnsi="Times New Roman" w:eastAsia="宋体"/>
                <w:b w:val="0"/>
                <w:sz w:val="17"/>
              </w:rPr>
              <w:t>十大癌种图文视频、分类标签、审核发布</w:t>
            </w:r>
          </w:p>
        </w:tc>
      </w:tr>
      <w:tr>
        <w:tc>
          <w:tcPr>
            <w:tcW w:type="dxa" w:w="2041"/>
          </w:tcPr>
          <w:p>
            <w:pPr>
              <w:spacing w:before="10" w:after="10" w:line="228" w:lineRule="auto"/>
            </w:pPr>
            <w:r/>
            <w:r>
              <w:rPr>
                <w:rFonts w:ascii="Times New Roman" w:hAnsi="Times New Roman" w:eastAsia="宋体"/>
                <w:b w:val="0"/>
                <w:sz w:val="17"/>
              </w:rPr>
              <w:t>人口信息库</w:t>
            </w:r>
          </w:p>
        </w:tc>
        <w:tc>
          <w:tcPr>
            <w:tcW w:type="dxa" w:w="7030"/>
          </w:tcPr>
          <w:p>
            <w:pPr>
              <w:spacing w:before="10" w:after="10" w:line="228" w:lineRule="auto"/>
            </w:pPr>
            <w:r/>
            <w:r>
              <w:rPr>
                <w:rFonts w:ascii="Times New Roman" w:hAnsi="Times New Roman" w:eastAsia="宋体"/>
                <w:b w:val="0"/>
                <w:sz w:val="17"/>
              </w:rPr>
              <w:t>分地区分年龄分性别人口、标准人口结构</w:t>
            </w:r>
          </w:p>
        </w:tc>
      </w:tr>
    </w:tbl>
    <w:p>
      <w:pPr>
        <w:spacing w:before="60" w:after="60" w:line="269" w:lineRule="auto"/>
        <w:ind w:firstLine="400"/>
      </w:pPr>
      <w:r>
        <w:rPr>
          <w:rFonts w:ascii="Times New Roman" w:hAnsi="Times New Roman" w:eastAsia="宋体"/>
          <w:b w:val="0"/>
          <w:sz w:val="20"/>
        </w:rPr>
        <w:t>数据融合方面，通过患者主索引建立同一患者在不同机构、不同系统中的身份对应关系，实施跨源匹配去重、质量监控和数据版本血缘管理。随访按癌种设置间隔自动生成任务，批量数据按姓名和身份证号联合匹配，涉及多个原发灶时全部同步更新。死亡信息按人级处理，先进入死因匹配池，匹配成功后才进入死亡列表。</w:t>
      </w:r>
    </w:p>
    <w:p>
      <w:pPr>
        <w:spacing w:before="140" w:after="60" w:line="269" w:lineRule="auto"/>
      </w:pPr>
      <w:r>
        <w:rPr>
          <w:rFonts w:ascii="Times New Roman" w:hAnsi="Times New Roman" w:eastAsia="黑体"/>
          <w:b w:val="0"/>
          <w:sz w:val="22"/>
        </w:rPr>
        <w:t>（五）肿瘤监测与预警</w:t>
      </w:r>
    </w:p>
    <w:p>
      <w:pPr>
        <w:spacing w:before="0" w:after="60" w:line="269" w:lineRule="auto"/>
        <w:ind w:firstLine="400"/>
      </w:pPr>
      <w:r>
        <w:rPr>
          <w:rFonts w:ascii="Times New Roman" w:hAnsi="Times New Roman" w:eastAsia="宋体"/>
          <w:b w:val="0"/>
          <w:sz w:val="20"/>
        </w:rPr>
        <w:t>业务场景：某地某癌种发病数突然上升需要及时发现，管理人员需要掌握辖区整体态势并了解各家医院肿瘤科的技术水平和治疗质量，防治资源投向哪个癌种、布局到哪个地市需要前瞻性依据，领导还关注患者为何外流、资源该往哪里投。</w:t>
      </w:r>
    </w:p>
    <w:tbl>
      <w:tblPr>
        <w:tblStyle w:val="TableGrid"/>
        <w:tblW w:type="auto" w:w="0"/>
        <w:jc w:val="center"/>
        <w:tblLayout w:type="fixed"/>
        <w:tblLook w:firstColumn="1" w:firstRow="1" w:lastColumn="0" w:lastRow="0" w:noHBand="0" w:noVBand="1" w:val="04A0"/>
      </w:tblPr>
      <w:tblGrid>
        <w:gridCol w:w="4819"/>
        <w:gridCol w:w="4819"/>
      </w:tblGrid>
      <w:tr>
        <w:tc>
          <w:tcPr>
            <w:tcW w:type="dxa" w:w="2041"/>
            <w:shd w:val="clear" w:color="auto" w:fill="E4E4E4"/>
          </w:tcPr>
          <w:p>
            <w:pPr>
              <w:spacing w:before="10" w:after="10" w:line="228" w:lineRule="auto"/>
              <w:jc w:val="center"/>
            </w:pPr>
            <w:r/>
            <w:r>
              <w:rPr>
                <w:rFonts w:ascii="Times New Roman" w:hAnsi="Times New Roman" w:eastAsia="黑体"/>
                <w:b/>
                <w:sz w:val="17"/>
              </w:rPr>
              <w:t>主要功能</w:t>
            </w:r>
          </w:p>
        </w:tc>
        <w:tc>
          <w:tcPr>
            <w:tcW w:type="dxa" w:w="7030"/>
            <w:shd w:val="clear" w:color="auto" w:fill="E4E4E4"/>
          </w:tcPr>
          <w:p>
            <w:pPr>
              <w:spacing w:before="10" w:after="10" w:line="228" w:lineRule="auto"/>
              <w:jc w:val="center"/>
            </w:pPr>
            <w:r/>
            <w:r>
              <w:rPr>
                <w:rFonts w:ascii="Times New Roman" w:hAnsi="Times New Roman" w:eastAsia="黑体"/>
                <w:b/>
                <w:sz w:val="17"/>
              </w:rPr>
              <w:t>实现方式</w:t>
            </w:r>
          </w:p>
        </w:tc>
      </w:tr>
      <w:tr>
        <w:tc>
          <w:tcPr>
            <w:tcW w:type="dxa" w:w="2041"/>
          </w:tcPr>
          <w:p>
            <w:pPr>
              <w:spacing w:before="10" w:after="10" w:line="228" w:lineRule="auto"/>
            </w:pPr>
            <w:r/>
            <w:r>
              <w:rPr>
                <w:rFonts w:ascii="Times New Roman" w:hAnsi="Times New Roman" w:eastAsia="宋体"/>
                <w:b w:val="0"/>
                <w:sz w:val="17"/>
              </w:rPr>
              <w:t>发病与死亡监测</w:t>
            </w:r>
          </w:p>
        </w:tc>
        <w:tc>
          <w:tcPr>
            <w:tcW w:type="dxa" w:w="7030"/>
          </w:tcPr>
          <w:p>
            <w:pPr>
              <w:spacing w:before="10" w:after="10" w:line="228" w:lineRule="auto"/>
            </w:pPr>
            <w:r/>
            <w:r>
              <w:rPr>
                <w:rFonts w:ascii="Times New Roman" w:hAnsi="Times New Roman" w:eastAsia="宋体"/>
                <w:b w:val="0"/>
                <w:sz w:val="17"/>
              </w:rPr>
              <w:t>实时汇聚上报数据，按地区、年龄、性别、癌种、时间交叉统计并自动计算标化率；发病数超历史同期均值 20% 时自动告警并生成核查工单</w:t>
            </w:r>
          </w:p>
        </w:tc>
      </w:tr>
      <w:tr>
        <w:tc>
          <w:tcPr>
            <w:tcW w:type="dxa" w:w="2041"/>
          </w:tcPr>
          <w:p>
            <w:pPr>
              <w:spacing w:before="10" w:after="10" w:line="228" w:lineRule="auto"/>
            </w:pPr>
            <w:r/>
            <w:r>
              <w:rPr>
                <w:rFonts w:ascii="Times New Roman" w:hAnsi="Times New Roman" w:eastAsia="宋体"/>
                <w:b w:val="0"/>
                <w:sz w:val="17"/>
              </w:rPr>
              <w:t>专科能力分析</w:t>
            </w:r>
          </w:p>
        </w:tc>
        <w:tc>
          <w:tcPr>
            <w:tcW w:type="dxa" w:w="7030"/>
          </w:tcPr>
          <w:p>
            <w:pPr>
              <w:spacing w:before="10" w:after="10" w:line="228" w:lineRule="auto"/>
            </w:pPr>
            <w:r/>
            <w:r>
              <w:rPr>
                <w:rFonts w:ascii="Times New Roman" w:hAnsi="Times New Roman" w:eastAsia="宋体"/>
                <w:b w:val="0"/>
                <w:sz w:val="17"/>
              </w:rPr>
              <w:t>从技术能力和医疗质量两个维度评价，生成综合评分和对标报告，支持全省排名</w:t>
            </w:r>
          </w:p>
        </w:tc>
      </w:tr>
      <w:tr>
        <w:tc>
          <w:tcPr>
            <w:tcW w:type="dxa" w:w="2041"/>
          </w:tcPr>
          <w:p>
            <w:pPr>
              <w:spacing w:before="10" w:after="10" w:line="228" w:lineRule="auto"/>
            </w:pPr>
            <w:r/>
            <w:r>
              <w:rPr>
                <w:rFonts w:ascii="Times New Roman" w:hAnsi="Times New Roman" w:eastAsia="宋体"/>
                <w:b w:val="0"/>
                <w:sz w:val="17"/>
              </w:rPr>
              <w:t>预警模型</w:t>
            </w:r>
          </w:p>
        </w:tc>
        <w:tc>
          <w:tcPr>
            <w:tcW w:type="dxa" w:w="7030"/>
          </w:tcPr>
          <w:p>
            <w:pPr>
              <w:spacing w:before="10" w:after="10" w:line="228" w:lineRule="auto"/>
            </w:pPr>
            <w:r/>
            <w:r>
              <w:rPr>
                <w:rFonts w:ascii="Times New Roman" w:hAnsi="Times New Roman" w:eastAsia="宋体"/>
                <w:b w:val="0"/>
                <w:sz w:val="17"/>
              </w:rPr>
              <w:t>整合发病死亡、人口、环境、生活方式等因素构建变量池，输出高中低风险地区与人群，定期以实际数据检验准确率</w:t>
            </w:r>
          </w:p>
        </w:tc>
      </w:tr>
      <w:tr>
        <w:tc>
          <w:tcPr>
            <w:tcW w:type="dxa" w:w="2041"/>
          </w:tcPr>
          <w:p>
            <w:pPr>
              <w:spacing w:before="10" w:after="10" w:line="228" w:lineRule="auto"/>
            </w:pPr>
            <w:r/>
            <w:r>
              <w:rPr>
                <w:rFonts w:ascii="Times New Roman" w:hAnsi="Times New Roman" w:eastAsia="宋体"/>
                <w:b w:val="0"/>
                <w:sz w:val="17"/>
              </w:rPr>
              <w:t>管理驾驶舱</w:t>
            </w:r>
          </w:p>
        </w:tc>
        <w:tc>
          <w:tcPr>
            <w:tcW w:type="dxa" w:w="7030"/>
          </w:tcPr>
          <w:p>
            <w:pPr>
              <w:spacing w:before="10" w:after="10" w:line="228" w:lineRule="auto"/>
            </w:pPr>
            <w:r/>
            <w:r>
              <w:rPr>
                <w:rFonts w:ascii="Times New Roman" w:hAnsi="Times New Roman" w:eastAsia="宋体"/>
                <w:b w:val="0"/>
                <w:sz w:val="17"/>
              </w:rPr>
              <w:t>集中展示发病、死亡、质控、随访核心指标，支持按地区、癌种、时间逐级下钻至具体病例</w:t>
            </w:r>
          </w:p>
        </w:tc>
      </w:tr>
      <w:tr>
        <w:tc>
          <w:tcPr>
            <w:tcW w:type="dxa" w:w="2041"/>
          </w:tcPr>
          <w:p>
            <w:pPr>
              <w:spacing w:before="10" w:after="10" w:line="228" w:lineRule="auto"/>
            </w:pPr>
            <w:r/>
            <w:r>
              <w:rPr>
                <w:rFonts w:ascii="Times New Roman" w:hAnsi="Times New Roman" w:eastAsia="宋体"/>
                <w:b w:val="0"/>
                <w:sz w:val="17"/>
              </w:rPr>
              <w:t>领导决策视图</w:t>
            </w:r>
          </w:p>
        </w:tc>
        <w:tc>
          <w:tcPr>
            <w:tcW w:type="dxa" w:w="7030"/>
          </w:tcPr>
          <w:p>
            <w:pPr>
              <w:spacing w:before="10" w:after="10" w:line="228" w:lineRule="auto"/>
            </w:pPr>
            <w:r/>
            <w:r>
              <w:rPr>
                <w:rFonts w:ascii="Times New Roman" w:hAnsi="Times New Roman" w:eastAsia="宋体"/>
                <w:b w:val="0"/>
                <w:sz w:val="17"/>
              </w:rPr>
              <w:t>按县域内、市内跨县、省内跨市、跨省流出四类呈现患者分流情况。当前跨省流出率 8.7%，净流入率 -6.5%，医保基金省外结算额 7.88 亿元</w:t>
            </w:r>
          </w:p>
        </w:tc>
      </w:tr>
    </w:tbl>
    <w:p>
      <w:pPr>
        <w:spacing w:before="140" w:after="60" w:line="269" w:lineRule="auto"/>
      </w:pPr>
      <w:r>
        <w:rPr>
          <w:rFonts w:ascii="Times New Roman" w:hAnsi="Times New Roman" w:eastAsia="黑体"/>
          <w:b w:val="0"/>
          <w:sz w:val="22"/>
        </w:rPr>
        <w:t>（六）健康咨询与综合管理</w:t>
      </w:r>
    </w:p>
    <w:p>
      <w:pPr>
        <w:spacing w:before="0" w:after="60" w:line="269" w:lineRule="auto"/>
        <w:ind w:firstLine="400"/>
      </w:pPr>
      <w:r>
        <w:rPr>
          <w:rFonts w:ascii="Times New Roman" w:hAnsi="Times New Roman" w:eastAsia="宋体"/>
          <w:b w:val="0"/>
          <w:sz w:val="20"/>
        </w:rPr>
        <w:t>业务场景：居民拿到检查报告看不懂，不知道该挂哪个科、找哪位专家；群众对肿瘤防治知识获取难，基层咨询无人应答；省、市、县各级岗位需要按辖区范围查看数据；各医疗机构编码口径不一，国家标准更新需要厂商改程序才能落地。</w:t>
      </w:r>
    </w:p>
    <w:tbl>
      <w:tblPr>
        <w:tblStyle w:val="TableGrid"/>
        <w:tblW w:type="auto" w:w="0"/>
        <w:jc w:val="center"/>
        <w:tblLayout w:type="fixed"/>
        <w:tblLook w:firstColumn="1" w:firstRow="1" w:lastColumn="0" w:lastRow="0" w:noHBand="0" w:noVBand="1" w:val="04A0"/>
      </w:tblPr>
      <w:tblGrid>
        <w:gridCol w:w="4819"/>
        <w:gridCol w:w="4819"/>
      </w:tblGrid>
      <w:tr>
        <w:tc>
          <w:tcPr>
            <w:tcW w:type="dxa" w:w="2041"/>
            <w:shd w:val="clear" w:color="auto" w:fill="E4E4E4"/>
          </w:tcPr>
          <w:p>
            <w:pPr>
              <w:spacing w:before="10" w:after="10" w:line="228" w:lineRule="auto"/>
              <w:jc w:val="center"/>
            </w:pPr>
            <w:r/>
            <w:r>
              <w:rPr>
                <w:rFonts w:ascii="Times New Roman" w:hAnsi="Times New Roman" w:eastAsia="黑体"/>
                <w:b/>
                <w:sz w:val="17"/>
              </w:rPr>
              <w:t>主要功能</w:t>
            </w:r>
          </w:p>
        </w:tc>
        <w:tc>
          <w:tcPr>
            <w:tcW w:type="dxa" w:w="7030"/>
            <w:shd w:val="clear" w:color="auto" w:fill="E4E4E4"/>
          </w:tcPr>
          <w:p>
            <w:pPr>
              <w:spacing w:before="10" w:after="10" w:line="228" w:lineRule="auto"/>
              <w:jc w:val="center"/>
            </w:pPr>
            <w:r/>
            <w:r>
              <w:rPr>
                <w:rFonts w:ascii="Times New Roman" w:hAnsi="Times New Roman" w:eastAsia="黑体"/>
                <w:b/>
                <w:sz w:val="17"/>
              </w:rPr>
              <w:t>实现方式</w:t>
            </w:r>
          </w:p>
        </w:tc>
      </w:tr>
      <w:tr>
        <w:tc>
          <w:tcPr>
            <w:tcW w:type="dxa" w:w="2041"/>
          </w:tcPr>
          <w:p>
            <w:pPr>
              <w:spacing w:before="10" w:after="10" w:line="228" w:lineRule="auto"/>
            </w:pPr>
            <w:r/>
            <w:r>
              <w:rPr>
                <w:rFonts w:ascii="Times New Roman" w:hAnsi="Times New Roman" w:eastAsia="宋体"/>
                <w:b w:val="0"/>
                <w:sz w:val="17"/>
              </w:rPr>
              <w:t>在线咨询</w:t>
            </w:r>
          </w:p>
        </w:tc>
        <w:tc>
          <w:tcPr>
            <w:tcW w:type="dxa" w:w="7030"/>
          </w:tcPr>
          <w:p>
            <w:pPr>
              <w:spacing w:before="10" w:after="10" w:line="228" w:lineRule="auto"/>
            </w:pPr>
            <w:r/>
            <w:r>
              <w:rPr>
                <w:rFonts w:ascii="Times New Roman" w:hAnsi="Times New Roman" w:eastAsia="宋体"/>
                <w:b w:val="0"/>
                <w:sz w:val="17"/>
              </w:rPr>
              <w:t>支持文字提问并上传报告图片，系统智能预分诊并按癌种自动分配医生；响应时长全程记录，超时自动提醒，答复质量可评价</w:t>
            </w:r>
          </w:p>
        </w:tc>
      </w:tr>
      <w:tr>
        <w:tc>
          <w:tcPr>
            <w:tcW w:type="dxa" w:w="2041"/>
          </w:tcPr>
          <w:p>
            <w:pPr>
              <w:spacing w:before="10" w:after="10" w:line="228" w:lineRule="auto"/>
            </w:pPr>
            <w:r/>
            <w:r>
              <w:rPr>
                <w:rFonts w:ascii="Times New Roman" w:hAnsi="Times New Roman" w:eastAsia="宋体"/>
                <w:b w:val="0"/>
                <w:sz w:val="17"/>
              </w:rPr>
              <w:t>互动社区与科普</w:t>
            </w:r>
          </w:p>
        </w:tc>
        <w:tc>
          <w:tcPr>
            <w:tcW w:type="dxa" w:w="7030"/>
          </w:tcPr>
          <w:p>
            <w:pPr>
              <w:spacing w:before="10" w:after="10" w:line="228" w:lineRule="auto"/>
            </w:pPr>
            <w:r/>
            <w:r>
              <w:rPr>
                <w:rFonts w:ascii="Times New Roman" w:hAnsi="Times New Roman" w:eastAsia="宋体"/>
                <w:b w:val="0"/>
                <w:sz w:val="17"/>
              </w:rPr>
              <w:t>设置学术专题、疑难答疑、经验分享、心理支持等专区，内容有审核；按年龄、性别、家族史等特征差异化推送科普内容</w:t>
            </w:r>
          </w:p>
        </w:tc>
      </w:tr>
      <w:tr>
        <w:tc>
          <w:tcPr>
            <w:tcW w:type="dxa" w:w="2041"/>
          </w:tcPr>
          <w:p>
            <w:pPr>
              <w:spacing w:before="10" w:after="10" w:line="228" w:lineRule="auto"/>
            </w:pPr>
            <w:r/>
            <w:r>
              <w:rPr>
                <w:rFonts w:ascii="Times New Roman" w:hAnsi="Times New Roman" w:eastAsia="宋体"/>
                <w:b w:val="0"/>
                <w:sz w:val="17"/>
              </w:rPr>
              <w:t>组织机构与人员</w:t>
            </w:r>
          </w:p>
        </w:tc>
        <w:tc>
          <w:tcPr>
            <w:tcW w:type="dxa" w:w="7030"/>
          </w:tcPr>
          <w:p>
            <w:pPr>
              <w:spacing w:before="10" w:after="10" w:line="228" w:lineRule="auto"/>
            </w:pPr>
            <w:r/>
            <w:r>
              <w:rPr>
                <w:rFonts w:ascii="Times New Roman" w:hAnsi="Times New Roman" w:eastAsia="宋体"/>
                <w:b w:val="0"/>
                <w:sz w:val="17"/>
              </w:rPr>
              <w:t>机构树与机构编码全省统一；医护档案、执业资质、账号安全管理与医院系统身份对应</w:t>
            </w:r>
          </w:p>
        </w:tc>
      </w:tr>
      <w:tr>
        <w:tc>
          <w:tcPr>
            <w:tcW w:type="dxa" w:w="2041"/>
          </w:tcPr>
          <w:p>
            <w:pPr>
              <w:spacing w:before="10" w:after="10" w:line="228" w:lineRule="auto"/>
            </w:pPr>
            <w:r/>
            <w:r>
              <w:rPr>
                <w:rFonts w:ascii="Times New Roman" w:hAnsi="Times New Roman" w:eastAsia="宋体"/>
                <w:b w:val="0"/>
                <w:sz w:val="17"/>
              </w:rPr>
              <w:t>角色与权限</w:t>
            </w:r>
          </w:p>
        </w:tc>
        <w:tc>
          <w:tcPr>
            <w:tcW w:type="dxa" w:w="7030"/>
          </w:tcPr>
          <w:p>
            <w:pPr>
              <w:spacing w:before="10" w:after="10" w:line="228" w:lineRule="auto"/>
            </w:pPr>
            <w:r/>
            <w:r>
              <w:rPr>
                <w:rFonts w:ascii="Times New Roman" w:hAnsi="Times New Roman" w:eastAsia="宋体"/>
                <w:b w:val="0"/>
                <w:sz w:val="17"/>
              </w:rPr>
              <w:t>在菜单、按钮、数据行三个层面控制权限，数据范围按行政区划自动限定，越级数据不可见</w:t>
            </w:r>
          </w:p>
        </w:tc>
      </w:tr>
      <w:tr>
        <w:tc>
          <w:tcPr>
            <w:tcW w:type="dxa" w:w="2041"/>
          </w:tcPr>
          <w:p>
            <w:pPr>
              <w:spacing w:before="10" w:after="10" w:line="228" w:lineRule="auto"/>
            </w:pPr>
            <w:r/>
            <w:r>
              <w:rPr>
                <w:rFonts w:ascii="Times New Roman" w:hAnsi="Times New Roman" w:eastAsia="宋体"/>
                <w:b w:val="0"/>
                <w:sz w:val="17"/>
              </w:rPr>
              <w:t>编码与标准</w:t>
            </w:r>
          </w:p>
        </w:tc>
        <w:tc>
          <w:tcPr>
            <w:tcW w:type="dxa" w:w="7030"/>
          </w:tcPr>
          <w:p>
            <w:pPr>
              <w:spacing w:before="10" w:after="10" w:line="228" w:lineRule="auto"/>
            </w:pPr>
            <w:r/>
            <w:r>
              <w:rPr>
                <w:rFonts w:ascii="Times New Roman" w:hAnsi="Times New Roman" w:eastAsia="宋体"/>
                <w:b w:val="0"/>
                <w:sz w:val="17"/>
              </w:rPr>
              <w:t>肿瘤分类编码、多原发判定规则、标准码表、临床路径统一维护；标准由省级在线发布，不依赖厂商修改程序</w:t>
            </w:r>
          </w:p>
        </w:tc>
      </w:tr>
      <w:tr>
        <w:tc>
          <w:tcPr>
            <w:tcW w:type="dxa" w:w="2041"/>
          </w:tcPr>
          <w:p>
            <w:pPr>
              <w:spacing w:before="10" w:after="10" w:line="228" w:lineRule="auto"/>
            </w:pPr>
            <w:r/>
            <w:r>
              <w:rPr>
                <w:rFonts w:ascii="Times New Roman" w:hAnsi="Times New Roman" w:eastAsia="宋体"/>
                <w:b w:val="0"/>
                <w:sz w:val="17"/>
              </w:rPr>
              <w:t>系统集成</w:t>
            </w:r>
          </w:p>
        </w:tc>
        <w:tc>
          <w:tcPr>
            <w:tcW w:type="dxa" w:w="7030"/>
          </w:tcPr>
          <w:p>
            <w:pPr>
              <w:spacing w:before="10" w:after="10" w:line="228" w:lineRule="auto"/>
            </w:pPr>
            <w:r/>
            <w:r>
              <w:rPr>
                <w:rFonts w:ascii="Times New Roman" w:hAnsi="Times New Roman" w:eastAsia="宋体"/>
                <w:b w:val="0"/>
                <w:sz w:val="17"/>
              </w:rPr>
              <w:t>与省全民健康信息平台及第三方应用统一对接、单点登录，接口有签名验证与白名单管控</w:t>
            </w:r>
          </w:p>
        </w:tc>
      </w:tr>
    </w:tbl>
    <w:p>
      <w:pPr>
        <w:spacing w:before="140" w:after="80" w:line="269" w:lineRule="auto"/>
        <w:jc w:val="center"/>
      </w:pPr>
      <w:r>
        <w:rPr>
          <w:rFonts w:ascii="Times New Roman" w:hAnsi="Times New Roman" w:eastAsia="黑体"/>
          <w:b w:val="0"/>
          <w:sz w:val="26"/>
        </w:rPr>
        <w:t>三、结构化年报</w:t>
      </w:r>
    </w:p>
    <w:p>
      <w:pPr>
        <w:spacing w:before="0" w:after="60" w:line="269" w:lineRule="auto"/>
        <w:ind w:firstLine="400"/>
      </w:pPr>
      <w:r>
        <w:rPr>
          <w:rFonts w:ascii="Times New Roman" w:hAnsi="Times New Roman" w:eastAsia="宋体"/>
          <w:b w:val="0"/>
          <w:sz w:val="20"/>
        </w:rPr>
        <w:t>年报编制按七个阶段组织实施，各阶段设准入条件，未满足的不进入下一阶段，阶段流转由人工确认并全程留痕。</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474"/>
            <w:shd w:val="clear" w:color="auto" w:fill="E4E4E4"/>
          </w:tcPr>
          <w:p>
            <w:pPr>
              <w:spacing w:before="10" w:after="10" w:line="228" w:lineRule="auto"/>
              <w:jc w:val="center"/>
            </w:pPr>
            <w:r/>
            <w:r>
              <w:rPr>
                <w:rFonts w:ascii="Times New Roman" w:hAnsi="Times New Roman" w:eastAsia="黑体"/>
                <w:b/>
                <w:sz w:val="17"/>
              </w:rPr>
              <w:t>阶段</w:t>
            </w:r>
          </w:p>
        </w:tc>
        <w:tc>
          <w:tcPr>
            <w:tcW w:type="dxa" w:w="2608"/>
            <w:shd w:val="clear" w:color="auto" w:fill="E4E4E4"/>
          </w:tcPr>
          <w:p>
            <w:pPr>
              <w:spacing w:before="10" w:after="10" w:line="228" w:lineRule="auto"/>
              <w:jc w:val="center"/>
            </w:pPr>
            <w:r/>
            <w:r>
              <w:rPr>
                <w:rFonts w:ascii="Times New Roman" w:hAnsi="Times New Roman" w:eastAsia="黑体"/>
                <w:b/>
                <w:sz w:val="17"/>
              </w:rPr>
              <w:t>承担岗位</w:t>
            </w:r>
          </w:p>
        </w:tc>
        <w:tc>
          <w:tcPr>
            <w:tcW w:type="dxa" w:w="4989"/>
            <w:shd w:val="clear" w:color="auto" w:fill="E4E4E4"/>
          </w:tcPr>
          <w:p>
            <w:pPr>
              <w:spacing w:before="10" w:after="10" w:line="228" w:lineRule="auto"/>
              <w:jc w:val="center"/>
            </w:pPr>
            <w:r/>
            <w:r>
              <w:rPr>
                <w:rFonts w:ascii="Times New Roman" w:hAnsi="Times New Roman" w:eastAsia="黑体"/>
                <w:b/>
                <w:sz w:val="17"/>
              </w:rPr>
              <w:t>业务场景与产出</w:t>
            </w:r>
          </w:p>
        </w:tc>
      </w:tr>
      <w:tr>
        <w:tc>
          <w:tcPr>
            <w:tcW w:type="dxa" w:w="1474"/>
          </w:tcPr>
          <w:p>
            <w:pPr>
              <w:spacing w:before="10" w:after="10" w:line="228" w:lineRule="auto"/>
            </w:pPr>
            <w:r/>
            <w:r>
              <w:rPr>
                <w:rFonts w:ascii="Times New Roman" w:hAnsi="Times New Roman" w:eastAsia="宋体"/>
                <w:b w:val="0"/>
                <w:sz w:val="17"/>
              </w:rPr>
              <w:t>建立任务</w:t>
            </w:r>
          </w:p>
        </w:tc>
        <w:tc>
          <w:tcPr>
            <w:tcW w:type="dxa" w:w="2608"/>
          </w:tcPr>
          <w:p>
            <w:pPr>
              <w:spacing w:before="10" w:after="10" w:line="228" w:lineRule="auto"/>
            </w:pPr>
            <w:r/>
            <w:r>
              <w:rPr>
                <w:rFonts w:ascii="Times New Roman" w:hAnsi="Times New Roman" w:eastAsia="宋体"/>
                <w:b w:val="0"/>
                <w:sz w:val="17"/>
              </w:rPr>
              <w:t>省级上报岗</w:t>
            </w:r>
          </w:p>
        </w:tc>
        <w:tc>
          <w:tcPr>
            <w:tcW w:type="dxa" w:w="4989"/>
          </w:tcPr>
          <w:p>
            <w:pPr>
              <w:spacing w:before="10" w:after="10" w:line="228" w:lineRule="auto"/>
            </w:pPr>
            <w:r/>
            <w:r>
              <w:rPr>
                <w:rFonts w:ascii="Times New Roman" w:hAnsi="Times New Roman" w:eastAsia="宋体"/>
                <w:b w:val="0"/>
                <w:sz w:val="17"/>
              </w:rPr>
              <w:t>年度编制启动时，先确定报告年度、覆盖范围、人口口径和标准人口，口径一经保存即锁定</w:t>
            </w:r>
          </w:p>
        </w:tc>
      </w:tr>
      <w:tr>
        <w:tc>
          <w:tcPr>
            <w:tcW w:type="dxa" w:w="1474"/>
          </w:tcPr>
          <w:p>
            <w:pPr>
              <w:spacing w:before="10" w:after="10" w:line="228" w:lineRule="auto"/>
            </w:pPr>
            <w:r/>
            <w:r>
              <w:rPr>
                <w:rFonts w:ascii="Times New Roman" w:hAnsi="Times New Roman" w:eastAsia="宋体"/>
                <w:b w:val="0"/>
                <w:sz w:val="17"/>
              </w:rPr>
              <w:t>数据准备</w:t>
            </w:r>
          </w:p>
        </w:tc>
        <w:tc>
          <w:tcPr>
            <w:tcW w:type="dxa" w:w="2608"/>
          </w:tcPr>
          <w:p>
            <w:pPr>
              <w:spacing w:before="10" w:after="10" w:line="228" w:lineRule="auto"/>
            </w:pPr>
            <w:r/>
            <w:r>
              <w:rPr>
                <w:rFonts w:ascii="Times New Roman" w:hAnsi="Times New Roman" w:eastAsia="宋体"/>
                <w:b w:val="0"/>
                <w:sz w:val="17"/>
              </w:rPr>
              <w:t>省级上报岗，各登记处配合核对</w:t>
            </w:r>
          </w:p>
        </w:tc>
        <w:tc>
          <w:tcPr>
            <w:tcW w:type="dxa" w:w="4989"/>
          </w:tcPr>
          <w:p>
            <w:pPr>
              <w:spacing w:before="10" w:after="10" w:line="228" w:lineRule="auto"/>
            </w:pPr>
            <w:r/>
            <w:r>
              <w:rPr>
                <w:rFonts w:ascii="Times New Roman" w:hAnsi="Times New Roman" w:eastAsia="宋体"/>
                <w:b w:val="0"/>
                <w:sz w:val="17"/>
              </w:rPr>
              <w:t>从登记、死因、随访、人口四类数据源取数，逐源核对并处理重复与多原发，检查字段齐备性</w:t>
            </w:r>
          </w:p>
        </w:tc>
      </w:tr>
      <w:tr>
        <w:tc>
          <w:tcPr>
            <w:tcW w:type="dxa" w:w="1474"/>
          </w:tcPr>
          <w:p>
            <w:pPr>
              <w:spacing w:before="10" w:after="10" w:line="228" w:lineRule="auto"/>
            </w:pPr>
            <w:r/>
            <w:r>
              <w:rPr>
                <w:rFonts w:ascii="Times New Roman" w:hAnsi="Times New Roman" w:eastAsia="宋体"/>
                <w:b w:val="0"/>
                <w:sz w:val="17"/>
              </w:rPr>
              <w:t>质量校验</w:t>
            </w:r>
          </w:p>
        </w:tc>
        <w:tc>
          <w:tcPr>
            <w:tcW w:type="dxa" w:w="2608"/>
          </w:tcPr>
          <w:p>
            <w:pPr>
              <w:spacing w:before="10" w:after="10" w:line="228" w:lineRule="auto"/>
            </w:pPr>
            <w:r/>
            <w:r>
              <w:rPr>
                <w:rFonts w:ascii="Times New Roman" w:hAnsi="Times New Roman" w:eastAsia="宋体"/>
                <w:b w:val="0"/>
                <w:sz w:val="17"/>
              </w:rPr>
              <w:t>质控岗</w:t>
            </w:r>
          </w:p>
        </w:tc>
        <w:tc>
          <w:tcPr>
            <w:tcW w:type="dxa" w:w="4989"/>
          </w:tcPr>
          <w:p>
            <w:pPr>
              <w:spacing w:before="10" w:after="10" w:line="228" w:lineRule="auto"/>
            </w:pPr>
            <w:r/>
            <w:r>
              <w:rPr>
                <w:rFonts w:ascii="Times New Roman" w:hAnsi="Times New Roman" w:eastAsia="宋体"/>
                <w:b w:val="0"/>
                <w:sz w:val="17"/>
              </w:rPr>
              <w:t>按国家考核指标出具质控问题清单，裁定整改或豁免</w:t>
            </w:r>
          </w:p>
        </w:tc>
      </w:tr>
      <w:tr>
        <w:tc>
          <w:tcPr>
            <w:tcW w:type="dxa" w:w="1474"/>
          </w:tcPr>
          <w:p>
            <w:pPr>
              <w:spacing w:before="10" w:after="10" w:line="228" w:lineRule="auto"/>
            </w:pPr>
            <w:r/>
            <w:r>
              <w:rPr>
                <w:rFonts w:ascii="Times New Roman" w:hAnsi="Times New Roman" w:eastAsia="宋体"/>
                <w:b w:val="0"/>
                <w:sz w:val="17"/>
              </w:rPr>
              <w:t>统计分析</w:t>
            </w:r>
          </w:p>
        </w:tc>
        <w:tc>
          <w:tcPr>
            <w:tcW w:type="dxa" w:w="2608"/>
          </w:tcPr>
          <w:p>
            <w:pPr>
              <w:spacing w:before="10" w:after="10" w:line="228" w:lineRule="auto"/>
            </w:pPr>
            <w:r/>
            <w:r>
              <w:rPr>
                <w:rFonts w:ascii="Times New Roman" w:hAnsi="Times New Roman" w:eastAsia="宋体"/>
                <w:b w:val="0"/>
                <w:sz w:val="17"/>
              </w:rPr>
              <w:t>统计分析岗</w:t>
            </w:r>
          </w:p>
        </w:tc>
        <w:tc>
          <w:tcPr>
            <w:tcW w:type="dxa" w:w="4989"/>
          </w:tcPr>
          <w:p>
            <w:pPr>
              <w:spacing w:before="10" w:after="10" w:line="228" w:lineRule="auto"/>
            </w:pPr>
            <w:r/>
            <w:r>
              <w:rPr>
                <w:rFonts w:ascii="Times New Roman" w:hAnsi="Times New Roman" w:eastAsia="宋体"/>
                <w:b w:val="0"/>
                <w:sz w:val="17"/>
              </w:rPr>
              <w:t>出统计表与图表，固化数据快照并绑定数据版本</w:t>
            </w:r>
          </w:p>
        </w:tc>
      </w:tr>
      <w:tr>
        <w:tc>
          <w:tcPr>
            <w:tcW w:type="dxa" w:w="1474"/>
          </w:tcPr>
          <w:p>
            <w:pPr>
              <w:spacing w:before="10" w:after="10" w:line="228" w:lineRule="auto"/>
            </w:pPr>
            <w:r/>
            <w:r>
              <w:rPr>
                <w:rFonts w:ascii="Times New Roman" w:hAnsi="Times New Roman" w:eastAsia="宋体"/>
                <w:b w:val="0"/>
                <w:sz w:val="17"/>
              </w:rPr>
              <w:t>正文编制与审核</w:t>
            </w:r>
          </w:p>
        </w:tc>
        <w:tc>
          <w:tcPr>
            <w:tcW w:type="dxa" w:w="2608"/>
          </w:tcPr>
          <w:p>
            <w:pPr>
              <w:spacing w:before="10" w:after="10" w:line="228" w:lineRule="auto"/>
            </w:pPr>
            <w:r/>
            <w:r>
              <w:rPr>
                <w:rFonts w:ascii="Times New Roman" w:hAnsi="Times New Roman" w:eastAsia="宋体"/>
                <w:b w:val="0"/>
                <w:sz w:val="17"/>
              </w:rPr>
              <w:t>省级上报岗、审核岗</w:t>
            </w:r>
          </w:p>
        </w:tc>
        <w:tc>
          <w:tcPr>
            <w:tcW w:type="dxa" w:w="4989"/>
          </w:tcPr>
          <w:p>
            <w:pPr>
              <w:spacing w:before="10" w:after="10" w:line="228" w:lineRule="auto"/>
            </w:pPr>
            <w:r/>
            <w:r>
              <w:rPr>
                <w:rFonts w:ascii="Times New Roman" w:hAnsi="Times New Roman" w:eastAsia="宋体"/>
                <w:b w:val="0"/>
                <w:sz w:val="17"/>
              </w:rPr>
              <w:t>编写年报正文，引用指标自动取自统计产物；审核岗复核正文与统计口径并出具意见</w:t>
            </w:r>
          </w:p>
        </w:tc>
      </w:tr>
      <w:tr>
        <w:tc>
          <w:tcPr>
            <w:tcW w:type="dxa" w:w="1474"/>
          </w:tcPr>
          <w:p>
            <w:pPr>
              <w:spacing w:before="10" w:after="10" w:line="228" w:lineRule="auto"/>
            </w:pPr>
            <w:r/>
            <w:r>
              <w:rPr>
                <w:rFonts w:ascii="Times New Roman" w:hAnsi="Times New Roman" w:eastAsia="宋体"/>
                <w:b w:val="0"/>
                <w:sz w:val="17"/>
              </w:rPr>
              <w:t>发布归档</w:t>
            </w:r>
          </w:p>
        </w:tc>
        <w:tc>
          <w:tcPr>
            <w:tcW w:type="dxa" w:w="2608"/>
          </w:tcPr>
          <w:p>
            <w:pPr>
              <w:spacing w:before="10" w:after="10" w:line="228" w:lineRule="auto"/>
            </w:pPr>
            <w:r/>
            <w:r>
              <w:rPr>
                <w:rFonts w:ascii="Times New Roman" w:hAnsi="Times New Roman" w:eastAsia="宋体"/>
                <w:b w:val="0"/>
                <w:sz w:val="17"/>
              </w:rPr>
              <w:t>省级上报岗、省卫生健康委</w:t>
            </w:r>
          </w:p>
        </w:tc>
        <w:tc>
          <w:tcPr>
            <w:tcW w:type="dxa" w:w="4989"/>
          </w:tcPr>
          <w:p>
            <w:pPr>
              <w:spacing w:before="10" w:after="10" w:line="228" w:lineRule="auto"/>
            </w:pPr>
            <w:r/>
            <w:r>
              <w:rPr>
                <w:rFonts w:ascii="Times New Roman" w:hAnsi="Times New Roman" w:eastAsia="宋体"/>
                <w:b w:val="0"/>
                <w:sz w:val="17"/>
              </w:rPr>
              <w:t>发布审批后上报国家平台，取得回执后归档定稿</w:t>
            </w:r>
          </w:p>
        </w:tc>
      </w:tr>
    </w:tbl>
    <w:p>
      <w:pPr>
        <w:spacing w:before="60" w:after="60" w:line="269" w:lineRule="auto"/>
        <w:ind w:firstLine="400"/>
      </w:pPr>
      <w:r>
        <w:rPr>
          <w:rFonts w:ascii="Times New Roman" w:hAnsi="Times New Roman" w:eastAsia="宋体"/>
          <w:b w:val="0"/>
          <w:sz w:val="20"/>
        </w:rPr>
        <w:t>关键控制要求：数据源须全部完成接入并核对，系统将“接入”与“核对”设为两个独立环节，防止只取数不核对；错误级问题必须整改闭环，不得豁免；编制基准一经修改，已生成的产物全部作废，须重新走后续阶段，避免出现数据与正文口径不一致；上报国家平台并取得回执后方可归档。</w:t>
      </w:r>
    </w:p>
    <w:p>
      <w:pPr>
        <w:spacing w:before="140" w:after="80" w:line="269" w:lineRule="auto"/>
        <w:jc w:val="center"/>
      </w:pPr>
      <w:r>
        <w:rPr>
          <w:rFonts w:ascii="Times New Roman" w:hAnsi="Times New Roman" w:eastAsia="黑体"/>
          <w:b w:val="0"/>
          <w:sz w:val="26"/>
        </w:rPr>
        <w:t>四、当前进展与建设成效</w:t>
      </w:r>
    </w:p>
    <w:p>
      <w:pPr>
        <w:spacing w:before="0" w:after="60" w:line="269" w:lineRule="auto"/>
        <w:ind w:firstLine="400"/>
      </w:pPr>
      <w:r>
        <w:rPr>
          <w:rFonts w:ascii="Times New Roman" w:hAnsi="Times New Roman" w:eastAsia="宋体"/>
          <w:b w:val="0"/>
          <w:sz w:val="20"/>
        </w:rPr>
        <w:t>七个业务体系核心功能已全部完成高保真原型设计，各条线共 144 个页面可在线操作演示，可用于方案评审和立项决策。下一步拟接入真实业务数据验证性能和口径准确性，推进接口联调，选取 1 至 2 个设区市开展试点后分批推广。</w:t>
      </w:r>
    </w:p>
    <w:tbl>
      <w:tblPr>
        <w:tblStyle w:val="TableGrid"/>
        <w:tblW w:type="auto" w:w="0"/>
        <w:jc w:val="center"/>
        <w:tblLayout w:type="fixed"/>
        <w:tblLook w:firstColumn="1" w:firstRow="1" w:lastColumn="0" w:lastRow="0" w:noHBand="0" w:noVBand="1" w:val="04A0"/>
      </w:tblPr>
      <w:tblGrid>
        <w:gridCol w:w="4819"/>
        <w:gridCol w:w="4819"/>
      </w:tblGrid>
      <w:tr>
        <w:tc>
          <w:tcPr>
            <w:tcW w:type="dxa" w:w="2154"/>
            <w:shd w:val="clear" w:color="auto" w:fill="E4E4E4"/>
          </w:tcPr>
          <w:p>
            <w:pPr>
              <w:spacing w:before="10" w:after="10" w:line="228" w:lineRule="auto"/>
              <w:jc w:val="center"/>
            </w:pPr>
            <w:r/>
            <w:r>
              <w:rPr>
                <w:rFonts w:ascii="Times New Roman" w:hAnsi="Times New Roman" w:eastAsia="黑体"/>
                <w:b/>
                <w:sz w:val="17"/>
              </w:rPr>
              <w:t>建设成效</w:t>
            </w:r>
          </w:p>
        </w:tc>
        <w:tc>
          <w:tcPr>
            <w:tcW w:type="dxa" w:w="6917"/>
            <w:shd w:val="clear" w:color="auto" w:fill="E4E4E4"/>
          </w:tcPr>
          <w:p>
            <w:pPr>
              <w:spacing w:before="10" w:after="10" w:line="228" w:lineRule="auto"/>
              <w:jc w:val="center"/>
            </w:pPr>
            <w:r/>
            <w:r>
              <w:rPr>
                <w:rFonts w:ascii="Times New Roman" w:hAnsi="Times New Roman" w:eastAsia="黑体"/>
                <w:b/>
                <w:sz w:val="17"/>
              </w:rPr>
              <w:t>说明</w:t>
            </w:r>
          </w:p>
        </w:tc>
      </w:tr>
      <w:tr>
        <w:tc>
          <w:tcPr>
            <w:tcW w:type="dxa" w:w="2154"/>
          </w:tcPr>
          <w:p>
            <w:pPr>
              <w:spacing w:before="10" w:after="10" w:line="228" w:lineRule="auto"/>
            </w:pPr>
            <w:r/>
            <w:r>
              <w:rPr>
                <w:rFonts w:ascii="Times New Roman" w:hAnsi="Times New Roman" w:eastAsia="宋体"/>
                <w:b w:val="0"/>
                <w:sz w:val="17"/>
              </w:rPr>
              <w:t>病例统一管理</w:t>
            </w:r>
          </w:p>
        </w:tc>
        <w:tc>
          <w:tcPr>
            <w:tcW w:type="dxa" w:w="6917"/>
          </w:tcPr>
          <w:p>
            <w:pPr>
              <w:spacing w:before="10" w:after="10" w:line="228" w:lineRule="auto"/>
            </w:pPr>
            <w:r/>
            <w:r>
              <w:rPr>
                <w:rFonts w:ascii="Times New Roman" w:hAnsi="Times New Roman" w:eastAsia="宋体"/>
                <w:b w:val="0"/>
                <w:sz w:val="17"/>
              </w:rPr>
              <w:t>全省肿瘤病例通过统一入口采集上报，实现一人一档、不重不漏</w:t>
            </w:r>
          </w:p>
        </w:tc>
      </w:tr>
      <w:tr>
        <w:tc>
          <w:tcPr>
            <w:tcW w:type="dxa" w:w="2154"/>
          </w:tcPr>
          <w:p>
            <w:pPr>
              <w:spacing w:before="10" w:after="10" w:line="228" w:lineRule="auto"/>
            </w:pPr>
            <w:r/>
            <w:r>
              <w:rPr>
                <w:rFonts w:ascii="Times New Roman" w:hAnsi="Times New Roman" w:eastAsia="宋体"/>
                <w:b w:val="0"/>
                <w:sz w:val="17"/>
              </w:rPr>
              <w:t>数据质量控制</w:t>
            </w:r>
          </w:p>
        </w:tc>
        <w:tc>
          <w:tcPr>
            <w:tcW w:type="dxa" w:w="6917"/>
          </w:tcPr>
          <w:p>
            <w:pPr>
              <w:spacing w:before="10" w:after="10" w:line="228" w:lineRule="auto"/>
            </w:pPr>
            <w:r/>
            <w:r>
              <w:rPr>
                <w:rFonts w:ascii="Times New Roman" w:hAnsi="Times New Roman" w:eastAsia="宋体"/>
                <w:b w:val="0"/>
                <w:sz w:val="17"/>
              </w:rPr>
              <w:t>九类专科质控嵌入诊疗全过程，问题整改可跟踪、可考核</w:t>
            </w:r>
          </w:p>
        </w:tc>
      </w:tr>
      <w:tr>
        <w:tc>
          <w:tcPr>
            <w:tcW w:type="dxa" w:w="2154"/>
          </w:tcPr>
          <w:p>
            <w:pPr>
              <w:spacing w:before="10" w:after="10" w:line="228" w:lineRule="auto"/>
            </w:pPr>
            <w:r/>
            <w:r>
              <w:rPr>
                <w:rFonts w:ascii="Times New Roman" w:hAnsi="Times New Roman" w:eastAsia="宋体"/>
                <w:b w:val="0"/>
                <w:sz w:val="17"/>
              </w:rPr>
              <w:t>数据支撑能力</w:t>
            </w:r>
          </w:p>
        </w:tc>
        <w:tc>
          <w:tcPr>
            <w:tcW w:type="dxa" w:w="6917"/>
          </w:tcPr>
          <w:p>
            <w:pPr>
              <w:spacing w:before="10" w:after="10" w:line="228" w:lineRule="auto"/>
            </w:pPr>
            <w:r/>
            <w:r>
              <w:rPr>
                <w:rFonts w:ascii="Times New Roman" w:hAnsi="Times New Roman" w:eastAsia="宋体"/>
                <w:b w:val="0"/>
                <w:sz w:val="17"/>
              </w:rPr>
              <w:t>七类信息库互联互通，指标可追溯来源和计算方法</w:t>
            </w:r>
          </w:p>
        </w:tc>
      </w:tr>
      <w:tr>
        <w:tc>
          <w:tcPr>
            <w:tcW w:type="dxa" w:w="2154"/>
          </w:tcPr>
          <w:p>
            <w:pPr>
              <w:spacing w:before="10" w:after="10" w:line="228" w:lineRule="auto"/>
            </w:pPr>
            <w:r/>
            <w:r>
              <w:rPr>
                <w:rFonts w:ascii="Times New Roman" w:hAnsi="Times New Roman" w:eastAsia="宋体"/>
                <w:b w:val="0"/>
                <w:sz w:val="17"/>
              </w:rPr>
              <w:t>风险预警能力</w:t>
            </w:r>
          </w:p>
        </w:tc>
        <w:tc>
          <w:tcPr>
            <w:tcW w:type="dxa" w:w="6917"/>
          </w:tcPr>
          <w:p>
            <w:pPr>
              <w:spacing w:before="10" w:after="10" w:line="228" w:lineRule="auto"/>
            </w:pPr>
            <w:r/>
            <w:r>
              <w:rPr>
                <w:rFonts w:ascii="Times New Roman" w:hAnsi="Times New Roman" w:eastAsia="宋体"/>
                <w:b w:val="0"/>
                <w:sz w:val="17"/>
              </w:rPr>
              <w:t>阈值预警与模型预警结合，推动防治由事后应对转向事前预防</w:t>
            </w:r>
          </w:p>
        </w:tc>
      </w:tr>
      <w:tr>
        <w:tc>
          <w:tcPr>
            <w:tcW w:type="dxa" w:w="2154"/>
          </w:tcPr>
          <w:p>
            <w:pPr>
              <w:spacing w:before="10" w:after="10" w:line="228" w:lineRule="auto"/>
            </w:pPr>
            <w:r/>
            <w:r>
              <w:rPr>
                <w:rFonts w:ascii="Times New Roman" w:hAnsi="Times New Roman" w:eastAsia="宋体"/>
                <w:b w:val="0"/>
                <w:sz w:val="17"/>
              </w:rPr>
              <w:t>服务与标准统一</w:t>
            </w:r>
          </w:p>
        </w:tc>
        <w:tc>
          <w:tcPr>
            <w:tcW w:type="dxa" w:w="6917"/>
          </w:tcPr>
          <w:p>
            <w:pPr>
              <w:spacing w:before="10" w:after="10" w:line="228" w:lineRule="auto"/>
            </w:pPr>
            <w:r/>
            <w:r>
              <w:rPr>
                <w:rFonts w:ascii="Times New Roman" w:hAnsi="Times New Roman" w:eastAsia="宋体"/>
                <w:b w:val="0"/>
                <w:sz w:val="17"/>
              </w:rPr>
              <w:t>在线咨询、互动社区和科普直达居民；标准、权限和编码全省统一</w:t>
            </w:r>
          </w:p>
        </w:tc>
      </w:tr>
    </w:tbl>
    <w:sectPr w:rsidR="00FC693F" w:rsidRPr="0006063C" w:rsidSect="00034616">
      <w:footerReference w:type="default" r:id="rId9"/>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