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00" w:lineRule="auto"/>
        <w:jc w:val="center"/>
      </w:pPr>
      <w:r>
        <w:rPr>
          <w:rFonts w:ascii="Times New Roman" w:hAnsi="Times New Roman" w:eastAsia="黑体"/>
          <w:b/>
          <w:sz w:val="36"/>
        </w:rPr>
        <w:t>江西省肿瘤登记直报系统产品工作汇报</w:t>
      </w:r>
    </w:p>
    <w:p>
      <w:pPr>
        <w:spacing w:before="0" w:after="120" w:line="269" w:lineRule="auto"/>
        <w:jc w:val="center"/>
      </w:pPr>
      <w:r>
        <w:rPr>
          <w:rFonts w:ascii="Times New Roman" w:hAnsi="Times New Roman" w:eastAsia="宋体"/>
          <w:b w:val="0"/>
          <w:sz w:val="20"/>
        </w:rPr>
        <w:t>汇报单位：产品项目组　　汇报日期：2026 年 10 月</w:t>
      </w:r>
    </w:p>
    <w:p>
      <w:pPr>
        <w:spacing w:before="140" w:after="80" w:line="300" w:lineRule="auto"/>
        <w:jc w:val="center"/>
      </w:pPr>
      <w:r>
        <w:rPr>
          <w:rFonts w:ascii="Times New Roman" w:hAnsi="Times New Roman" w:eastAsia="黑体"/>
          <w:b w:val="0"/>
          <w:sz w:val="26"/>
        </w:rPr>
        <w:t>一、总体情况</w:t>
      </w:r>
    </w:p>
    <w:p>
      <w:pPr>
        <w:spacing w:before="0" w:after="6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本系统是覆盖肿瘤防治全过程的全省信息化平台，贯通省、市、县、乡四级防治网络，按“省级主建、市县主用”模式建设，面向卫生健康管理人员、登记处工作人员、医疗机构医护人员和居民四类用户，按角色提供差异化功能界面与数据范围。</w:t>
      </w:r>
    </w:p>
    <w:p>
      <w:pPr>
        <w:spacing w:before="0" w:after="6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系统建设前，全省肿瘤防治工作存在四方面突出问题：病例登记依赖人工填卡，漏报难以及时发现，统计完整性难以保证；各医疗机构疾病编码、分期等口径不统一，数据汇聚后难以比对使用；数据质量依靠事后检查通报，问题整改缺乏跟踪手段；资源配置决策缺少量化依据。本系统的各项功能均针对上述问题设计。</w:t>
      </w:r>
    </w:p>
    <w:p>
      <w:pPr>
        <w:spacing w:before="0" w:after="6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系统按业务划分为七个模块：肿瘤登记与随访管理、肿瘤质控管理、数据统计与年报报送、肿瘤监测与预警、肿瘤专科画像、健康服务、综合管理。各模块功能构成如下。</w:t>
      </w:r>
    </w:p>
    <w:p>
      <w:pPr>
        <w:spacing w:before="140" w:after="80" w:line="300" w:lineRule="auto"/>
        <w:jc w:val="center"/>
      </w:pPr>
      <w:r>
        <w:rPr>
          <w:rFonts w:ascii="Times New Roman" w:hAnsi="Times New Roman" w:eastAsia="黑体"/>
          <w:b w:val="0"/>
          <w:sz w:val="26"/>
        </w:rPr>
        <w:t>二、七个业务模块</w:t>
      </w:r>
    </w:p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（一）肿瘤登记与随访管理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业务场景：临床医生确诊肿瘤患者后需要上报，登记员要批量导入病例、判断是否重复与多原发、处理缺项退回和作废卡，行政区划调整后还要成批纠正归属地；患者治疗结束后需要长期跟踪生存状态和复发转移情况，随访员要按计划执行随访、记录接触事件，失访的还要预警召回；患者死亡后需登记死亡信息并与发病记录关联。本模块是全省肿瘤病例进入统计口径的唯一入口，也是其余各模块的数据基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批量登记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手工报卡与批量模板上传，导入即校验、错误逐行定位；填写发病部位、病理类型等中文名称自动生成标准编码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报告卡列表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报告卡查询、详情查看、克隆、导出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报告卡迁移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批量修改报告卡归属登记辖区，二次确认、留痕可回退、权限分级审批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上报数据管理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上报源记录的查询、修订、版本与来源追溯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作废卡管理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已作废报告卡的恢复与审计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报卡查重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按待处理、重卡、多原发、独立卡四种视图识别重复病例；逐字段比对人口信息，只展示差异、由人工判定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随访任务列表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按计划推送初访、年度、逾期随访任务，跟踪执行进度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随访信息管理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记录接触事件，保存即刷新档案当前状态；批量上传按姓名和身份证号联合匹配，涉及多个原发灶时全部同步更新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随访周期管理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按癌种维护随访间隔（默认 12 个月），自动生成随访计划任务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死亡信息列表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死亡信息登记与批量导入；先入死因匹配池，匹配成功后才进入死亡列表；按人级同步全部原发灶的死亡信息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（二）肿瘤质控管理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业务场景：质控人员要按国家绩效考核要求评价各机构诊疗质量，要维护统一的质控规则，还要把发现的问题下发整改并复核关闭；登记处和医院则通过审核质控处理待办卡片、查阅质控规则和审计日志。本模块围绕诊疗全过程实施数据质量监督，从以事后检查为主转向全过程管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六大绩效质控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按临床分期评估率、病理学诊断率、术后病理分期率、围手术期死亡率、分子病理检测率、淋巴结清扫规范率六个维度逐项考核，可下钻到机构与具体病例，支持达标热力图与同比差距分析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质控规则配置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质控规则的新建、编辑、启停与分组标签维护，全省执行同一标准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整改问题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质控问题下发、机构整改、复核关闭的工单化闭环，处理有时限、修改留痕、责任可追溯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审核质控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待办工作台处理初审、复审、终审；质控规则查阅；质控审计日志追溯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（三）数据统计与年报报送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业务场景：管理人员需要掌握辖区发病、死亡、质控、随访的整体态势，登记处需要统计各机构上报量与数据质量，省级还要整理数据包上报国家肿瘤登记平台，并按年度编制肿瘤登记年报。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数据看板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发病、死亡、质控、随访核心指标集中展示，支持按地区、癌种、时间逐级下钻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统计分析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多维交叉统计、标化率自动计算，图表呈现与导出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报卡工作量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按机构统计上报数量与办理进度，标识零上报和低上报单位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报卡质量监测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上报及时率、错误率等数据质量指标监测与异常标记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报表文件库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统计报表文件归档、下载与版本留存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国家肿瘤数据上报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数据预览、上报记录、上报列表，与国家平台对接并留存回执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年报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年报任务、编制工作台、模板管理、归档记录；编制按阶段推进，各阶段设准入条件，未取得国家平台回执不得归档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（四）肿瘤监测与预警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业务场景：某地某癌种发病数异常上升需要及时告警核查，预警发出后需要督导责任方按期处置，还要分析规则命中与误报情况以持续优化预警规则。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预警记录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阈值预警自动生成并记录告警信息与处置状态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处置督导分析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含处置总览、责任方督导、时限达成管理、结论与整改成效、规则命中与误报分析五个视图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处置工单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预警工单的创建、分派、处理与办结归档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预警规则配置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预警规则与阈值的维护，可按癌种和地区分别设定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（五）肿瘤专科画像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业务场景：临床医生需要一屏看清一位患者的诊疗全貌，地区管理人员需要了解本地防治链条哪一环存在短板，省级需要评价各机构肿瘤专科的技术能力和医疗质量。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患者专科画像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以患者为中心的 360° 视图，按入院建档、治疗过程、结局管理三个阶段组织诊疗要素，跨体系数据串联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画像指标汇总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群体画像按疾病负担、早期发现、规范诊疗、生存结局、资源与公平五方面组织，以级联方式展示患者流转和环节流失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画像配置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画像要素定义、分组、启停与维度绑定，由省级统一配置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肿瘤专科能力分析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含肿瘤诊疗技术目录、机构技术开展记录、医疗质量核心指标明细、疑难病例收治特征库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（六）健康服务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业务场景：居民需要获取权威的肿瘤防治科普知识，基层医护需要操作培训和业务规范，管理部门需要通过公告、资讯和问卷向各级单位传达要求并收集反馈。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科普内容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按病种、使用场景、内容形式、状态检索，支持预览、收藏与取用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培训内容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全省统一教材管理，含课件、操作手册、SOP、教学视频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我的内容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收藏的科普与培训内容回看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分类维护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病种、使用场景、标签、内容形式四类字典维护，改名同步更新引用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资讯与问卷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公告通知、资讯管理、问卷管理、答卷管理与统计分析</w:t>
            </w:r>
          </w:p>
        </w:tc>
      </w:tr>
    </w:tbl>
    <w:p>
      <w:pPr>
        <w:spacing w:before="140" w:after="60" w:line="300" w:lineRule="auto"/>
      </w:pPr>
      <w:r>
        <w:rPr>
          <w:rFonts w:ascii="Times New Roman" w:hAnsi="Times New Roman" w:eastAsia="黑体"/>
          <w:b w:val="0"/>
          <w:sz w:val="22"/>
        </w:rPr>
        <w:t>（七）综合管理</w:t>
      </w:r>
    </w:p>
    <w:p>
      <w:pPr>
        <w:spacing w:before="0" w:after="4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业务场景：系统管理员需要维护机构、人口基数、行政区划等基础数据，统一维护疾病编码和字典，配置查重参数，管理用户与角色权限，并通过审计日志追溯各类操作。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功能模块</w:t>
            </w:r>
          </w:p>
        </w:tc>
        <w:tc>
          <w:tcPr>
            <w:tcW w:type="dxa" w:w="725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主要功能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基础数据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机构管理、人口基数管理、行政区划管理，机构编码全省统一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字典管理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常规字典、解剖部位、病理类型、逻辑字典、自定义条件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查重参数配置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自动查重参数与合并字段参数配置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用户与权限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用户管理、在线用户、角色与权限管理、菜单栏管理；数据范围按行政区划自动限定</w:t>
            </w:r>
          </w:p>
        </w:tc>
      </w:tr>
      <w:tr>
        <w:tc>
          <w:tcPr>
            <w:tcW w:type="dxa" w:w="181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系统审计</w:t>
            </w:r>
          </w:p>
        </w:tc>
        <w:tc>
          <w:tcPr>
            <w:tcW w:type="dxa" w:w="725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报卡记录日志、空间地址日志、随访记录日志、系统操作日志</w:t>
            </w:r>
          </w:p>
        </w:tc>
      </w:tr>
    </w:tbl>
    <w:p>
      <w:pPr>
        <w:spacing w:before="140" w:after="80" w:line="300" w:lineRule="auto"/>
        <w:jc w:val="center"/>
      </w:pPr>
      <w:r>
        <w:rPr>
          <w:rFonts w:ascii="Times New Roman" w:hAnsi="Times New Roman" w:eastAsia="黑体"/>
          <w:b w:val="0"/>
          <w:sz w:val="26"/>
        </w:rPr>
        <w:t>三、当前进展与建设成效</w:t>
      </w:r>
    </w:p>
    <w:p>
      <w:pPr>
        <w:spacing w:before="0" w:after="60" w:line="269" w:lineRule="auto"/>
        <w:ind w:firstLine="400"/>
      </w:pPr>
      <w:r>
        <w:rPr>
          <w:rFonts w:ascii="Times New Roman" w:hAnsi="Times New Roman" w:eastAsia="宋体"/>
          <w:b w:val="0"/>
          <w:sz w:val="20"/>
        </w:rPr>
        <w:t>系统各模块功能已完成高保真原型设计，页面可在线操作演示，可用于方案评审和立项决策。下一步拟接入真实业务数据验证性能和口径准确性，推进与省全民健康信息平台、医疗机构信息系统的接口联调，选取 1 至 2 个设区市开展试点后分批推广。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154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建设成效</w:t>
            </w:r>
          </w:p>
        </w:tc>
        <w:tc>
          <w:tcPr>
            <w:tcW w:type="dxa" w:w="6917"/>
            <w:shd w:val="clear" w:color="auto" w:fill="E4E4E4"/>
          </w:tcPr>
          <w:p>
            <w:pPr>
              <w:spacing w:before="10" w:after="10" w:line="228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17"/>
              </w:rPr>
              <w:t>说明</w:t>
            </w:r>
          </w:p>
        </w:tc>
      </w:tr>
      <w:tr>
        <w:tc>
          <w:tcPr>
            <w:tcW w:type="dxa" w:w="215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病例统一管理</w:t>
            </w:r>
          </w:p>
        </w:tc>
        <w:tc>
          <w:tcPr>
            <w:tcW w:type="dxa" w:w="691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全省肿瘤病例通过统一入口采集上报，实现一人一档、不重不漏</w:t>
            </w:r>
          </w:p>
        </w:tc>
      </w:tr>
      <w:tr>
        <w:tc>
          <w:tcPr>
            <w:tcW w:type="dxa" w:w="215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数据质量控制</w:t>
            </w:r>
          </w:p>
        </w:tc>
        <w:tc>
          <w:tcPr>
            <w:tcW w:type="dxa" w:w="691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六大绩效质控与审核质控嵌入诊疗全过程，问题整改可跟踪、可考核</w:t>
            </w:r>
          </w:p>
        </w:tc>
      </w:tr>
      <w:tr>
        <w:tc>
          <w:tcPr>
            <w:tcW w:type="dxa" w:w="215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数据支撑能力</w:t>
            </w:r>
          </w:p>
        </w:tc>
        <w:tc>
          <w:tcPr>
            <w:tcW w:type="dxa" w:w="691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患者画像与专科能力分析支撑疾病负担分析和资源配置</w:t>
            </w:r>
          </w:p>
        </w:tc>
      </w:tr>
      <w:tr>
        <w:tc>
          <w:tcPr>
            <w:tcW w:type="dxa" w:w="215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风险预警能力</w:t>
            </w:r>
          </w:p>
        </w:tc>
        <w:tc>
          <w:tcPr>
            <w:tcW w:type="dxa" w:w="691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预警监测与处置督导闭环，推动防治由事后应对转向事前预防</w:t>
            </w:r>
          </w:p>
        </w:tc>
      </w:tr>
      <w:tr>
        <w:tc>
          <w:tcPr>
            <w:tcW w:type="dxa" w:w="2154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服务与标准统一</w:t>
            </w:r>
          </w:p>
        </w:tc>
        <w:tc>
          <w:tcPr>
            <w:tcW w:type="dxa" w:w="6917"/>
          </w:tcPr>
          <w:p>
            <w:pPr>
              <w:spacing w:before="10" w:after="10" w:line="228" w:lineRule="auto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科普与培训直达基层和居民；标准、权限和编码全省统一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Times New Roman" w:hAnsi="Times New Roman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