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  <w:jc w:val="center"/>
      </w:pPr>
      <w:r>
        <w:rPr>
          <w:rFonts w:ascii="Times New Roman" w:hAnsi="Times New Roman" w:eastAsia="黑体"/>
          <w:b/>
          <w:sz w:val="36"/>
        </w:rPr>
        <w:t>江西省肿瘤登记直报系统产品工作汇报</w:t>
      </w:r>
    </w:p>
    <w:p>
      <w:pPr>
        <w:spacing w:before="0" w:after="120" w:line="269" w:lineRule="auto"/>
        <w:jc w:val="center"/>
      </w:pPr>
      <w:r>
        <w:rPr>
          <w:rFonts w:ascii="Times New Roman" w:hAnsi="Times New Roman" w:eastAsia="宋体"/>
          <w:b w:val="0"/>
          <w:sz w:val="20"/>
        </w:rPr>
        <w:t>汇报单位：产品项目组　　汇报日期：2026 年 10 月</w:t>
      </w:r>
    </w:p>
    <w:p>
      <w:pPr>
        <w:spacing w:before="140" w:after="80" w:line="300" w:lineRule="auto"/>
        <w:jc w:val="center"/>
      </w:pPr>
      <w:r>
        <w:rPr>
          <w:rFonts w:ascii="Times New Roman" w:hAnsi="Times New Roman" w:eastAsia="黑体"/>
          <w:b w:val="0"/>
          <w:sz w:val="26"/>
        </w:rPr>
        <w:t>一、总体情况</w:t>
      </w:r>
    </w:p>
    <w:p>
      <w:pPr>
        <w:spacing w:before="0" w:after="6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本系统是覆盖肿瘤防治全过程的全省信息化平台，贯通省、市、县、乡四级防治网络，按“省级主建、市县主用”模式建设，面向卫生健康管理人员、登记处工作人员、医疗机构医护人员和居民四类用户，按角色提供差异化功能界面与数据范围。</w:t>
      </w:r>
    </w:p>
    <w:p>
      <w:pPr>
        <w:spacing w:before="0" w:after="6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系统建设前，全省肿瘤防治工作存在四方面突出问题：病例登记依赖人工填卡，漏报难以及时发现，统计完整性难以保证；各医疗机构疾病编码、分期等口径不统一，数据汇聚后难以比对使用；数据质量依靠事后检查通报，问题整改缺乏跟踪手段；资源配置决策缺少量化依据。本系统的各项功能均针对上述问题设计。</w:t>
      </w:r>
    </w:p>
    <w:p>
      <w:pPr>
        <w:spacing w:before="0" w:after="6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系统按业务划分为七个模块：肿瘤登记与随访管理、肿瘤质控管理、数据统计与年报报送、肿瘤监测与预警、肿瘤专科画像、健康服务、综合管理。各模块功能构成如下。</w:t>
      </w:r>
    </w:p>
    <w:p>
      <w:pPr>
        <w:spacing w:before="140" w:after="80" w:line="300" w:lineRule="auto"/>
        <w:jc w:val="center"/>
      </w:pPr>
      <w:r>
        <w:rPr>
          <w:rFonts w:ascii="Times New Roman" w:hAnsi="Times New Roman" w:eastAsia="黑体"/>
          <w:b w:val="0"/>
          <w:sz w:val="26"/>
        </w:rPr>
        <w:t>二、七个业务模块</w:t>
      </w:r>
    </w:p>
    <w:p>
      <w:pPr>
        <w:spacing w:before="140" w:after="60" w:line="300" w:lineRule="auto"/>
      </w:pPr>
      <w:r>
        <w:rPr>
          <w:rFonts w:ascii="Times New Roman" w:hAnsi="Times New Roman" w:eastAsia="黑体"/>
          <w:b w:val="0"/>
          <w:sz w:val="22"/>
        </w:rPr>
        <w:t>（一）肿瘤登记与随访管理</w:t>
      </w:r>
    </w:p>
    <w:p>
      <w:pPr>
        <w:spacing w:before="0" w:after="4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解决的问题：全省肿瘤病例底数不清、漏报难以及时发现、患者失访无人跟踪。通过建立全省统一的病例采集入口和随访机制，实现一人一档、不重不漏，为掌握真实疾病负担和评价防治效果提供数据基础。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功能模块</w:t>
            </w:r>
          </w:p>
        </w:tc>
        <w:tc>
          <w:tcPr>
            <w:tcW w:type="dxa" w:w="7257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主要功能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批量登记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手工报卡与批量模板上传，导入即校验、错误逐行定位；填写发病部位、病理类型等中文名称自动生成标准编码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报告卡列表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报告卡查询、详情查看、克隆、导出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报告卡迁移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批量修改报告卡归属登记辖区，二次确认、留痕可回退、权限分级审批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上报数据管理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上报源记录的查询、修订、版本与来源追溯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作废卡管理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已作废报告卡的恢复与审计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报卡查重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按待处理、重卡、多原发、独立卡四种视图识别重复病例；逐字段比对人口信息，只展示差异、由人工判定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随访任务列表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按计划推送初访、年度、逾期随访任务，跟踪执行进度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随访信息管理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记录接触事件，保存即刷新档案当前状态；批量上传按姓名和身份证号联合匹配，涉及多个原发灶时全部同步更新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随访周期管理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按癌种维护随访间隔（默认 12 个月），自动生成随访计划任务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死亡信息列表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死亡信息登记与批量导入；先入死因匹配池，匹配成功后才进入死亡列表；按人级同步全部原发灶的死亡信息</w:t>
            </w:r>
          </w:p>
        </w:tc>
      </w:tr>
    </w:tbl>
    <w:p>
      <w:pPr>
        <w:spacing w:before="140" w:after="60" w:line="300" w:lineRule="auto"/>
      </w:pPr>
      <w:r>
        <w:rPr>
          <w:rFonts w:ascii="Times New Roman" w:hAnsi="Times New Roman" w:eastAsia="黑体"/>
          <w:b w:val="0"/>
          <w:sz w:val="22"/>
        </w:rPr>
        <w:t>（二）肿瘤质控管理</w:t>
      </w:r>
    </w:p>
    <w:p>
      <w:pPr>
        <w:spacing w:before="0" w:after="4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解决的问题：诊疗质量缺乏统一评价标准，数据质量依靠事后通报、整改无跟踪。通过将国家绩效考核六个维度嵌入诊疗全过程，实现质量可量化、可比对、可考核，问题整改闭环到机构、责任到人。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功能模块</w:t>
            </w:r>
          </w:p>
        </w:tc>
        <w:tc>
          <w:tcPr>
            <w:tcW w:type="dxa" w:w="7257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主要功能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六大绩效质控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按临床分期评估率、病理学诊断率、术后病理分期率、围手术期死亡率、分子病理检测率、淋巴结清扫规范率六个维度逐项考核，可下钻到机构与具体病例，支持达标热力图与同比差距分析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质控规则配置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质控规则的新建、编辑、启停与分组标签维护，全省执行同一标准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整改问题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质控问题下发、机构整改、复核关闭的工单化闭环，处理有时限、修改留痕、责任可追溯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审核质控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待办工作台处理初审、复审、终审；质控规则查阅；质控审计日志追溯</w:t>
            </w:r>
          </w:p>
        </w:tc>
      </w:tr>
    </w:tbl>
    <w:p>
      <w:pPr>
        <w:spacing w:before="140" w:after="60" w:line="300" w:lineRule="auto"/>
      </w:pPr>
      <w:r>
        <w:rPr>
          <w:rFonts w:ascii="Times New Roman" w:hAnsi="Times New Roman" w:eastAsia="黑体"/>
          <w:b w:val="0"/>
          <w:sz w:val="22"/>
        </w:rPr>
        <w:t>（三）数据统计与年报报送</w:t>
      </w:r>
    </w:p>
    <w:p>
      <w:pPr>
        <w:spacing w:before="0" w:after="4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解决的问题：数据分散、口径不一，管理者掌握不了辖区整体态势，年度数据报送国家平台缺乏规范流程。通过统一统计口径和分阶段编制流程，实现指标可下钻、数据可追溯、上报可留痕。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功能模块</w:t>
            </w:r>
          </w:p>
        </w:tc>
        <w:tc>
          <w:tcPr>
            <w:tcW w:type="dxa" w:w="7257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主要功能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数据看板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发病、死亡、质控、随访核心指标集中展示，支持按地区、癌种、时间逐级下钻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统计分析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多维交叉统计、标化率自动计算，图表呈现与导出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报卡工作量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按机构统计上报数量与办理进度，标识零上报和低上报单位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报卡质量监测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上报及时率、错误率等数据质量指标监测与异常标记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报表文件库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统计报表文件归档、下载与版本留存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国家肿瘤数据上报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数据预览、上报记录、上报列表，与国家平台对接并留存回执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年报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年报任务、编制工作台、模板管理、归档记录；编制按阶段推进，各阶段设准入条件，未取得国家平台回执不得归档</w:t>
            </w:r>
          </w:p>
        </w:tc>
      </w:tr>
    </w:tbl>
    <w:p>
      <w:pPr>
        <w:spacing w:before="140" w:after="60" w:line="300" w:lineRule="auto"/>
      </w:pPr>
      <w:r>
        <w:rPr>
          <w:rFonts w:ascii="Times New Roman" w:hAnsi="Times New Roman" w:eastAsia="黑体"/>
          <w:b w:val="0"/>
          <w:sz w:val="22"/>
        </w:rPr>
        <w:t>（四）肿瘤监测与预警</w:t>
      </w:r>
    </w:p>
    <w:p>
      <w:pPr>
        <w:spacing w:before="0" w:after="4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解决的问题：发病异常依靠人工发现，处置过程缺乏督办，防治工作长期处于被动应对状态。通过阈值告警与处置督导闭环，异常自动推送、责任方按期处置、逾期自动升级，推动防治工作从事后应对转向事前预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功能模块</w:t>
            </w:r>
          </w:p>
        </w:tc>
        <w:tc>
          <w:tcPr>
            <w:tcW w:type="dxa" w:w="7257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主要功能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预警记录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阈值预警自动生成并记录告警信息与处置状态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处置督导分析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含处置总览、责任方督导、时限达成管理、结论与整改成效、规则命中与误报分析五个视图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处置工单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预警工单的创建、分派、处理与办结归档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预警规则配置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预警规则与阈值的维护，可按癌种和地区分别设定</w:t>
            </w:r>
          </w:p>
        </w:tc>
      </w:tr>
    </w:tbl>
    <w:p>
      <w:pPr>
        <w:spacing w:before="140" w:after="60" w:line="300" w:lineRule="auto"/>
      </w:pPr>
      <w:r>
        <w:rPr>
          <w:rFonts w:ascii="Times New Roman" w:hAnsi="Times New Roman" w:eastAsia="黑体"/>
          <w:b w:val="0"/>
          <w:sz w:val="22"/>
        </w:rPr>
        <w:t>（五）肿瘤专科画像</w:t>
      </w:r>
    </w:p>
    <w:p>
      <w:pPr>
        <w:spacing w:before="0" w:after="4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解决的问题：单个患者诊疗是否规范、效果如何难以说清，地区防治链条哪一环薄弱缺乏量化依据。通过建立患者全景视图和地区画像，支撑精准诊疗和资源优化配置。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功能模块</w:t>
            </w:r>
          </w:p>
        </w:tc>
        <w:tc>
          <w:tcPr>
            <w:tcW w:type="dxa" w:w="7257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主要功能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患者专科画像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以患者为中心的 360° 视图，按入院建档、治疗过程、结局管理三个阶段组织诊疗要素，跨体系数据串联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画像指标汇总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群体画像按疾病负担、早期发现、规范诊疗、生存结局、资源与公平五方面组织，以级联方式展示患者流转和环节流失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画像配置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画像要素定义、分组、启停与维度绑定，由省级统一配置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肿瘤专科能力分析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含肿瘤诊疗技术目录、机构技术开展记录、医疗质量核心指标明细、疑难病例收治特征库</w:t>
            </w:r>
          </w:p>
        </w:tc>
      </w:tr>
    </w:tbl>
    <w:p>
      <w:pPr>
        <w:spacing w:before="140" w:after="60" w:line="300" w:lineRule="auto"/>
      </w:pPr>
      <w:r>
        <w:rPr>
          <w:rFonts w:ascii="Times New Roman" w:hAnsi="Times New Roman" w:eastAsia="黑体"/>
          <w:b w:val="0"/>
          <w:sz w:val="22"/>
        </w:rPr>
        <w:t>（六）健康服务</w:t>
      </w:r>
    </w:p>
    <w:p>
      <w:pPr>
        <w:spacing w:before="0" w:after="4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解决的问题：群众防癌知识获取难、就医方向不明，基层业务能力参差不齐。通过权威科普、统一培训和在线互动，把防治服务直接延伸到居民和基层。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功能模块</w:t>
            </w:r>
          </w:p>
        </w:tc>
        <w:tc>
          <w:tcPr>
            <w:tcW w:type="dxa" w:w="7257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主要功能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科普内容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按病种、使用场景、内容形式、状态检索，支持预览、收藏与取用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培训内容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全省统一教材管理，含课件、操作手册、SOP、教学视频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我的内容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收藏的科普与培训内容回看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分类维护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病种、使用场景、标签、内容形式四类字典维护，改名同步更新引用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资讯与问卷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公告通知、资讯管理、问卷管理、答卷管理与统计分析</w:t>
            </w:r>
          </w:p>
        </w:tc>
      </w:tr>
    </w:tbl>
    <w:p>
      <w:pPr>
        <w:spacing w:before="140" w:after="60" w:line="300" w:lineRule="auto"/>
      </w:pPr>
      <w:r>
        <w:rPr>
          <w:rFonts w:ascii="Times New Roman" w:hAnsi="Times New Roman" w:eastAsia="黑体"/>
          <w:b w:val="0"/>
          <w:sz w:val="22"/>
        </w:rPr>
        <w:t>（七）综合管理</w:t>
      </w:r>
    </w:p>
    <w:p>
      <w:pPr>
        <w:spacing w:before="0" w:after="4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解决的问题：各级机构编码口径不一，标准更新依赖厂商改码；数据权限缺乏分级控制，操作行为难以追溯。通过全省统一标准、权限按辖区分级、操作全程留痕，保障系统安全可控。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功能模块</w:t>
            </w:r>
          </w:p>
        </w:tc>
        <w:tc>
          <w:tcPr>
            <w:tcW w:type="dxa" w:w="7257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主要功能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基础数据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机构管理、人口基数管理、行政区划管理，机构编码全省统一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字典管理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常规字典、解剖部位、病理类型、逻辑字典、自定义条件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查重参数配置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自动查重参数与合并字段参数配置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用户与权限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用户管理、在线用户、角色与权限管理、菜单栏管理；数据范围按行政区划自动限定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系统审计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报卡记录日志、空间地址日志、随访记录日志、系统操作日志</w:t>
            </w:r>
          </w:p>
        </w:tc>
      </w:tr>
    </w:tbl>
    <w:p>
      <w:pPr>
        <w:spacing w:before="140" w:after="80" w:line="300" w:lineRule="auto"/>
        <w:jc w:val="center"/>
      </w:pPr>
      <w:r>
        <w:rPr>
          <w:rFonts w:ascii="Times New Roman" w:hAnsi="Times New Roman" w:eastAsia="黑体"/>
          <w:b w:val="0"/>
          <w:sz w:val="26"/>
        </w:rPr>
        <w:t>三、当前进展与建设成效</w:t>
      </w:r>
    </w:p>
    <w:p>
      <w:pPr>
        <w:spacing w:before="0" w:after="6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系统各模块功能已完成高保真原型设计，页面可在线操作演示，可用于方案评审和立项决策。下一步拟接入真实业务数据验证性能和口径准确性，推进与省全民健康信息平台、医疗机构信息系统的接口联调，选取 1 至 2 个设区市开展试点后分批推广。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154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建设成效</w:t>
            </w:r>
          </w:p>
        </w:tc>
        <w:tc>
          <w:tcPr>
            <w:tcW w:type="dxa" w:w="6917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说明</w:t>
            </w:r>
          </w:p>
        </w:tc>
      </w:tr>
      <w:tr>
        <w:tc>
          <w:tcPr>
            <w:tcW w:type="dxa" w:w="215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病例统一管理</w:t>
            </w:r>
          </w:p>
        </w:tc>
        <w:tc>
          <w:tcPr>
            <w:tcW w:type="dxa" w:w="691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全省肿瘤病例通过统一入口采集上报，实现一人一档、不重不漏</w:t>
            </w:r>
          </w:p>
        </w:tc>
      </w:tr>
      <w:tr>
        <w:tc>
          <w:tcPr>
            <w:tcW w:type="dxa" w:w="215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数据质量控制</w:t>
            </w:r>
          </w:p>
        </w:tc>
        <w:tc>
          <w:tcPr>
            <w:tcW w:type="dxa" w:w="691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六大绩效质控与审核质控嵌入诊疗全过程，问题整改可跟踪、可考核</w:t>
            </w:r>
          </w:p>
        </w:tc>
      </w:tr>
      <w:tr>
        <w:tc>
          <w:tcPr>
            <w:tcW w:type="dxa" w:w="215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数据支撑能力</w:t>
            </w:r>
          </w:p>
        </w:tc>
        <w:tc>
          <w:tcPr>
            <w:tcW w:type="dxa" w:w="691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患者画像与专科能力分析支撑疾病负担分析和资源配置</w:t>
            </w:r>
          </w:p>
        </w:tc>
      </w:tr>
      <w:tr>
        <w:tc>
          <w:tcPr>
            <w:tcW w:type="dxa" w:w="215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风险预警能力</w:t>
            </w:r>
          </w:p>
        </w:tc>
        <w:tc>
          <w:tcPr>
            <w:tcW w:type="dxa" w:w="691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预警监测与处置督导闭环，推动防治由事后应对转向事前预防</w:t>
            </w:r>
          </w:p>
        </w:tc>
      </w:tr>
      <w:tr>
        <w:tc>
          <w:tcPr>
            <w:tcW w:type="dxa" w:w="215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服务与标准统一</w:t>
            </w:r>
          </w:p>
        </w:tc>
        <w:tc>
          <w:tcPr>
            <w:tcW w:type="dxa" w:w="691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科普与培训直达基层和居民；标准、权限和编码全省统一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