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D6B3D">
      <w:pPr>
        <w:spacing w:before="0" w:after="120" w:line="300" w:lineRule="auto"/>
        <w:jc w:val="center"/>
      </w:pPr>
      <w:r>
        <w:rPr>
          <w:rFonts w:ascii="Times New Roman" w:hAnsi="Times New Roman" w:eastAsia="黑体"/>
          <w:b/>
          <w:sz w:val="36"/>
        </w:rPr>
        <w:t>江西省肿瘤登记直报系统产品工作汇报</w:t>
      </w:r>
    </w:p>
    <w:p w14:paraId="341780CF">
      <w:pPr>
        <w:spacing w:before="0" w:after="120" w:line="254" w:lineRule="auto"/>
        <w:jc w:val="center"/>
      </w:pPr>
      <w:r>
        <w:rPr>
          <w:rFonts w:ascii="Times New Roman" w:hAnsi="Times New Roman" w:eastAsia="宋体"/>
          <w:b w:val="0"/>
          <w:sz w:val="20"/>
        </w:rPr>
        <w:t>汇报单位：产品项目组　　汇报日期：2026 年 10 月</w:t>
      </w:r>
    </w:p>
    <w:p w14:paraId="7424E362">
      <w:pPr>
        <w:spacing w:before="140" w:after="80" w:line="300" w:lineRule="auto"/>
        <w:jc w:val="center"/>
      </w:pPr>
      <w:r>
        <w:rPr>
          <w:rFonts w:ascii="Times New Roman" w:hAnsi="Times New Roman" w:eastAsia="黑体"/>
          <w:b w:val="0"/>
          <w:sz w:val="26"/>
        </w:rPr>
        <w:t>一、总体情况</w:t>
      </w:r>
    </w:p>
    <w:p w14:paraId="65D9CA8E">
      <w:pPr>
        <w:spacing w:before="0" w:after="60" w:line="254" w:lineRule="auto"/>
        <w:ind w:firstLine="400"/>
      </w:pPr>
      <w:r>
        <w:rPr>
          <w:rFonts w:ascii="Times New Roman" w:hAnsi="Times New Roman" w:eastAsia="宋体"/>
          <w:b w:val="0"/>
          <w:sz w:val="20"/>
        </w:rPr>
        <w:t>本系统是覆盖肿瘤防治全过程的全省信息化平台，面向卫生健康管理人员、登记处工作人员、医疗机构医护人员</w:t>
      </w:r>
      <w:r>
        <w:rPr>
          <w:rFonts w:hint="eastAsia"/>
          <w:b w:val="0"/>
          <w:sz w:val="20"/>
          <w:lang w:eastAsia="zh-CN"/>
        </w:rPr>
        <w:t>，</w:t>
      </w:r>
      <w:r>
        <w:rPr>
          <w:rFonts w:ascii="Times New Roman" w:hAnsi="Times New Roman" w:eastAsia="宋体"/>
          <w:b w:val="0"/>
          <w:sz w:val="20"/>
        </w:rPr>
        <w:t>系统按业务划分为七个模块：肿瘤登记与随访管理、肿瘤质控管理、数据统计与年报报送、肿瘤监测与预警、肿瘤专科画像、健康服务、综合管理。各模块功能构成如下。</w:t>
      </w:r>
    </w:p>
    <w:p w14:paraId="698B1A69">
      <w:pPr>
        <w:spacing w:before="140" w:after="80" w:line="300" w:lineRule="auto"/>
        <w:jc w:val="center"/>
      </w:pPr>
      <w:r>
        <w:rPr>
          <w:rFonts w:ascii="Times New Roman" w:hAnsi="Times New Roman" w:eastAsia="黑体"/>
          <w:b w:val="0"/>
          <w:sz w:val="26"/>
        </w:rPr>
        <w:t>二、七个业务模块</w:t>
      </w:r>
    </w:p>
    <w:p w14:paraId="168E8A63">
      <w:pPr>
        <w:spacing w:before="140" w:after="60" w:line="300" w:lineRule="auto"/>
      </w:pPr>
      <w:r>
        <w:rPr>
          <w:rFonts w:ascii="Times New Roman" w:hAnsi="Times New Roman" w:eastAsia="黑体"/>
          <w:b w:val="0"/>
          <w:sz w:val="22"/>
        </w:rPr>
        <w:t>（一）肿瘤登记与随访管理</w:t>
      </w:r>
    </w:p>
    <w:p w14:paraId="5ED6BCB2">
      <w:pPr>
        <w:spacing w:before="0" w:after="40" w:line="254" w:lineRule="auto"/>
        <w:ind w:firstLine="400"/>
      </w:pPr>
      <w:r>
        <w:rPr>
          <w:rFonts w:ascii="Times New Roman" w:hAnsi="Times New Roman" w:eastAsia="宋体"/>
          <w:b w:val="0"/>
          <w:sz w:val="20"/>
        </w:rPr>
        <w:t>政策要求：《肿瘤登记管理办法》（国卫疾控发〔2015〕6 号）第九条规定，肿瘤登记报告范围为全部恶性肿瘤和中枢神经系统良性肿瘤；第十条要求，医疗机构通过医院信息系统提取肿瘤病例信息，未建信息系统的由医务人员填写报告卡，按季度报送辖区登记处。</w:t>
      </w:r>
    </w:p>
    <w:p w14:paraId="0D7D2626">
      <w:pPr>
        <w:spacing w:before="0" w:after="40" w:line="254" w:lineRule="auto"/>
        <w:ind w:firstLine="400"/>
      </w:pPr>
      <w:r>
        <w:rPr>
          <w:rFonts w:ascii="Times New Roman" w:hAnsi="Times New Roman" w:eastAsia="宋体"/>
          <w:b w:val="0"/>
          <w:sz w:val="20"/>
        </w:rPr>
        <w:t>系统能力：针对基层卫生院普遍未建信息系统、手工填卡负担重的问题，系统支持从病案首页自动提取肿瘤诊断信息并配套病例自动发现机制，基层无需逐例手工录入，只需校正确认即可上报，大幅减轻基层负担，也使“诊断即登记”成为可能。系统统一生成 ICD-O-3 与 ICD-10 编码，自动识别重卡、多原发，对已死亡未登记病例回溯补报，并按癌种自动生成随访计划、跟踪生存结局。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08DF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4E4E4"/>
          </w:tcPr>
          <w:p w14:paraId="754EDDF9">
            <w:pPr>
              <w:spacing w:before="10" w:after="10" w:line="216" w:lineRule="auto"/>
              <w:jc w:val="center"/>
            </w:pPr>
            <w:r>
              <w:rPr>
                <w:rFonts w:ascii="Times New Roman" w:hAnsi="Times New Roman" w:eastAsia="黑体"/>
                <w:b/>
                <w:sz w:val="17"/>
              </w:rPr>
              <w:t>功能模块</w:t>
            </w:r>
          </w:p>
        </w:tc>
        <w:tc>
          <w:tcPr>
            <w:tcW w:w="7257" w:type="dxa"/>
            <w:shd w:val="clear" w:color="auto" w:fill="E4E4E4"/>
          </w:tcPr>
          <w:p w14:paraId="714CBDD9">
            <w:pPr>
              <w:spacing w:before="10" w:after="10" w:line="216" w:lineRule="auto"/>
              <w:jc w:val="center"/>
            </w:pPr>
            <w:r>
              <w:rPr>
                <w:rFonts w:ascii="Times New Roman" w:hAnsi="Times New Roman" w:eastAsia="黑体"/>
                <w:b/>
                <w:sz w:val="17"/>
              </w:rPr>
              <w:t>主要功能</w:t>
            </w:r>
          </w:p>
        </w:tc>
      </w:tr>
      <w:tr w14:paraId="6D92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8F2FAEE">
            <w:pPr>
              <w:spacing w:before="10" w:after="10" w:line="216" w:lineRule="auto"/>
            </w:pPr>
            <w:r>
              <w:rPr>
                <w:rFonts w:ascii="Times New Roman" w:hAnsi="Times New Roman" w:eastAsia="宋体"/>
                <w:b w:val="0"/>
                <w:sz w:val="17"/>
              </w:rPr>
              <w:t>批量登记</w:t>
            </w:r>
          </w:p>
        </w:tc>
        <w:tc>
          <w:tcPr>
            <w:tcW w:w="7257" w:type="dxa"/>
          </w:tcPr>
          <w:p w14:paraId="47C9BAA8">
            <w:pPr>
              <w:spacing w:before="10" w:after="10" w:line="216" w:lineRule="auto"/>
            </w:pPr>
            <w:r>
              <w:rPr>
                <w:rFonts w:ascii="Times New Roman" w:hAnsi="Times New Roman" w:eastAsia="宋体"/>
                <w:b w:val="0"/>
                <w:sz w:val="17"/>
              </w:rPr>
              <w:t>病案首页自动提取与手工报卡、批量模板上传并行；填写中文名称自动生成标准编码，基层无需手工查码填码</w:t>
            </w:r>
          </w:p>
        </w:tc>
      </w:tr>
      <w:tr w14:paraId="4BA1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9893A2A">
            <w:pPr>
              <w:spacing w:before="10" w:after="10" w:line="216" w:lineRule="auto"/>
            </w:pPr>
            <w:r>
              <w:rPr>
                <w:rFonts w:ascii="Times New Roman" w:hAnsi="Times New Roman" w:eastAsia="宋体"/>
                <w:b w:val="0"/>
                <w:sz w:val="17"/>
              </w:rPr>
              <w:t>报告卡列表</w:t>
            </w:r>
          </w:p>
        </w:tc>
        <w:tc>
          <w:tcPr>
            <w:tcW w:w="7257" w:type="dxa"/>
          </w:tcPr>
          <w:p w14:paraId="6C64E87D">
            <w:pPr>
              <w:spacing w:before="10" w:after="10" w:line="216" w:lineRule="auto"/>
            </w:pPr>
            <w:r>
              <w:rPr>
                <w:rFonts w:ascii="Times New Roman" w:hAnsi="Times New Roman" w:eastAsia="宋体"/>
                <w:b w:val="0"/>
                <w:sz w:val="17"/>
              </w:rPr>
              <w:t>报告卡查询、详情查看、克隆、导出</w:t>
            </w:r>
          </w:p>
        </w:tc>
      </w:tr>
      <w:tr w14:paraId="64C4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8DBB9C">
            <w:pPr>
              <w:spacing w:before="10" w:after="10" w:line="216" w:lineRule="auto"/>
            </w:pPr>
            <w:r>
              <w:rPr>
                <w:rFonts w:ascii="Times New Roman" w:hAnsi="Times New Roman" w:eastAsia="宋体"/>
                <w:b w:val="0"/>
                <w:sz w:val="17"/>
              </w:rPr>
              <w:t>报告卡迁移</w:t>
            </w:r>
          </w:p>
        </w:tc>
        <w:tc>
          <w:tcPr>
            <w:tcW w:w="7257" w:type="dxa"/>
          </w:tcPr>
          <w:p w14:paraId="58DFF4F7">
            <w:pPr>
              <w:spacing w:before="10" w:after="10" w:line="216" w:lineRule="auto"/>
            </w:pPr>
            <w:r>
              <w:rPr>
                <w:rFonts w:ascii="Times New Roman" w:hAnsi="Times New Roman" w:eastAsia="宋体"/>
                <w:b w:val="0"/>
                <w:sz w:val="17"/>
              </w:rPr>
              <w:t>批量修改报告卡归属登记辖区，二次确认、留痕可回退、权限分级审批</w:t>
            </w:r>
          </w:p>
        </w:tc>
      </w:tr>
      <w:tr w14:paraId="51FA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106C923">
            <w:pPr>
              <w:spacing w:before="10" w:after="10" w:line="216" w:lineRule="auto"/>
            </w:pPr>
            <w:r>
              <w:rPr>
                <w:rFonts w:ascii="Times New Roman" w:hAnsi="Times New Roman" w:eastAsia="宋体"/>
                <w:b w:val="0"/>
                <w:sz w:val="17"/>
              </w:rPr>
              <w:t>上报数据管理</w:t>
            </w:r>
          </w:p>
        </w:tc>
        <w:tc>
          <w:tcPr>
            <w:tcW w:w="7257" w:type="dxa"/>
          </w:tcPr>
          <w:p w14:paraId="570BBD68">
            <w:pPr>
              <w:spacing w:before="10" w:after="10" w:line="216" w:lineRule="auto"/>
            </w:pPr>
            <w:r>
              <w:rPr>
                <w:rFonts w:ascii="Times New Roman" w:hAnsi="Times New Roman" w:eastAsia="宋体"/>
                <w:b w:val="0"/>
                <w:sz w:val="17"/>
              </w:rPr>
              <w:t>上报源记录的查询、修订、版本与来源追溯</w:t>
            </w:r>
          </w:p>
        </w:tc>
      </w:tr>
      <w:tr w14:paraId="365B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6217D8C">
            <w:pPr>
              <w:spacing w:before="10" w:after="10" w:line="216" w:lineRule="auto"/>
            </w:pPr>
            <w:r>
              <w:rPr>
                <w:rFonts w:ascii="Times New Roman" w:hAnsi="Times New Roman" w:eastAsia="宋体"/>
                <w:b w:val="0"/>
                <w:sz w:val="17"/>
              </w:rPr>
              <w:t>作废卡管理</w:t>
            </w:r>
          </w:p>
        </w:tc>
        <w:tc>
          <w:tcPr>
            <w:tcW w:w="7257" w:type="dxa"/>
          </w:tcPr>
          <w:p w14:paraId="6F4964C8">
            <w:pPr>
              <w:spacing w:before="10" w:after="10" w:line="216" w:lineRule="auto"/>
            </w:pPr>
            <w:r>
              <w:rPr>
                <w:rFonts w:ascii="Times New Roman" w:hAnsi="Times New Roman" w:eastAsia="宋体"/>
                <w:b w:val="0"/>
                <w:sz w:val="17"/>
              </w:rPr>
              <w:t>已作废报告卡的恢复与审计</w:t>
            </w:r>
          </w:p>
        </w:tc>
      </w:tr>
      <w:tr w14:paraId="3C0C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1C760F9">
            <w:pPr>
              <w:spacing w:before="10" w:after="10" w:line="216" w:lineRule="auto"/>
            </w:pPr>
            <w:r>
              <w:rPr>
                <w:rFonts w:ascii="Times New Roman" w:hAnsi="Times New Roman" w:eastAsia="宋体"/>
                <w:b w:val="0"/>
                <w:sz w:val="17"/>
              </w:rPr>
              <w:t>报卡查重</w:t>
            </w:r>
          </w:p>
        </w:tc>
        <w:tc>
          <w:tcPr>
            <w:tcW w:w="7257" w:type="dxa"/>
          </w:tcPr>
          <w:p w14:paraId="2235C9F5">
            <w:pPr>
              <w:spacing w:before="10" w:after="10" w:line="216" w:lineRule="auto"/>
            </w:pPr>
            <w:r>
              <w:rPr>
                <w:rFonts w:ascii="Times New Roman" w:hAnsi="Times New Roman" w:eastAsia="宋体"/>
                <w:b w:val="0"/>
                <w:sz w:val="17"/>
              </w:rPr>
              <w:t>按待处理、重卡、多原发、独立卡四种视图识别重复病例；逐字段比对人口信息，只展示差异、由人工判定</w:t>
            </w:r>
          </w:p>
        </w:tc>
      </w:tr>
      <w:tr w14:paraId="7CBA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4C24F15">
            <w:pPr>
              <w:spacing w:before="10" w:after="10" w:line="216" w:lineRule="auto"/>
            </w:pPr>
            <w:r>
              <w:rPr>
                <w:rFonts w:ascii="Times New Roman" w:hAnsi="Times New Roman" w:eastAsia="宋体"/>
                <w:b w:val="0"/>
                <w:sz w:val="17"/>
              </w:rPr>
              <w:t>随访任务列表</w:t>
            </w:r>
          </w:p>
        </w:tc>
        <w:tc>
          <w:tcPr>
            <w:tcW w:w="7257" w:type="dxa"/>
          </w:tcPr>
          <w:p w14:paraId="3E25A236">
            <w:pPr>
              <w:spacing w:before="10" w:after="10" w:line="216" w:lineRule="auto"/>
            </w:pPr>
            <w:r>
              <w:rPr>
                <w:rFonts w:ascii="Times New Roman" w:hAnsi="Times New Roman" w:eastAsia="宋体"/>
                <w:b w:val="0"/>
                <w:sz w:val="17"/>
              </w:rPr>
              <w:t>按计划推送初访、年度、逾期随访任务，跟踪执行进度</w:t>
            </w:r>
          </w:p>
        </w:tc>
      </w:tr>
      <w:tr w14:paraId="5DE2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921033F">
            <w:pPr>
              <w:spacing w:before="10" w:after="10" w:line="216" w:lineRule="auto"/>
            </w:pPr>
            <w:r>
              <w:rPr>
                <w:rFonts w:ascii="Times New Roman" w:hAnsi="Times New Roman" w:eastAsia="宋体"/>
                <w:b w:val="0"/>
                <w:sz w:val="17"/>
              </w:rPr>
              <w:t>随访信息管理</w:t>
            </w:r>
          </w:p>
        </w:tc>
        <w:tc>
          <w:tcPr>
            <w:tcW w:w="7257" w:type="dxa"/>
          </w:tcPr>
          <w:p w14:paraId="0763B47C">
            <w:pPr>
              <w:spacing w:before="10" w:after="10" w:line="216" w:lineRule="auto"/>
            </w:pPr>
            <w:r>
              <w:rPr>
                <w:rFonts w:ascii="Times New Roman" w:hAnsi="Times New Roman" w:eastAsia="宋体"/>
                <w:b w:val="0"/>
                <w:sz w:val="17"/>
              </w:rPr>
              <w:t>记录接触事件，保存即刷新档案当前状态；批量上传按姓名和身份证号联合匹配，涉及多个原发灶时全部同步更新</w:t>
            </w:r>
          </w:p>
        </w:tc>
      </w:tr>
      <w:tr w14:paraId="66102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EBA8B37">
            <w:pPr>
              <w:spacing w:before="10" w:after="10" w:line="216" w:lineRule="auto"/>
            </w:pPr>
            <w:r>
              <w:rPr>
                <w:rFonts w:ascii="Times New Roman" w:hAnsi="Times New Roman" w:eastAsia="宋体"/>
                <w:b w:val="0"/>
                <w:sz w:val="17"/>
              </w:rPr>
              <w:t>随访周期管理</w:t>
            </w:r>
          </w:p>
        </w:tc>
        <w:tc>
          <w:tcPr>
            <w:tcW w:w="7257" w:type="dxa"/>
          </w:tcPr>
          <w:p w14:paraId="00737E7B">
            <w:pPr>
              <w:spacing w:before="10" w:after="10" w:line="216" w:lineRule="auto"/>
            </w:pPr>
            <w:r>
              <w:rPr>
                <w:rFonts w:ascii="Times New Roman" w:hAnsi="Times New Roman" w:eastAsia="宋体"/>
                <w:b w:val="0"/>
                <w:sz w:val="17"/>
              </w:rPr>
              <w:t>按癌种维护随访间隔（默认 12 个月），自动生成随访计划任务</w:t>
            </w:r>
          </w:p>
        </w:tc>
      </w:tr>
      <w:tr w14:paraId="1B87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A2AEDA7">
            <w:pPr>
              <w:spacing w:before="10" w:after="10" w:line="216" w:lineRule="auto"/>
            </w:pPr>
            <w:r>
              <w:rPr>
                <w:rFonts w:ascii="Times New Roman" w:hAnsi="Times New Roman" w:eastAsia="宋体"/>
                <w:b w:val="0"/>
                <w:sz w:val="17"/>
              </w:rPr>
              <w:t>死亡信息列表</w:t>
            </w:r>
          </w:p>
        </w:tc>
        <w:tc>
          <w:tcPr>
            <w:tcW w:w="7257" w:type="dxa"/>
          </w:tcPr>
          <w:p w14:paraId="4ED9A255">
            <w:pPr>
              <w:spacing w:before="10" w:after="10" w:line="216" w:lineRule="auto"/>
            </w:pPr>
            <w:r>
              <w:rPr>
                <w:rFonts w:ascii="Times New Roman" w:hAnsi="Times New Roman" w:eastAsia="宋体"/>
                <w:b w:val="0"/>
                <w:sz w:val="17"/>
              </w:rPr>
              <w:t>死亡信息登记与批量导入；先入死因匹配池，匹配成功后才进入死亡列表；按人级同步全部原发灶的死亡信息</w:t>
            </w:r>
          </w:p>
        </w:tc>
      </w:tr>
    </w:tbl>
    <w:p w14:paraId="4AFA75CD">
      <w:pPr>
        <w:spacing w:before="140" w:after="60" w:line="300" w:lineRule="auto"/>
      </w:pPr>
      <w:r>
        <w:rPr>
          <w:rFonts w:ascii="Times New Roman" w:hAnsi="Times New Roman" w:eastAsia="黑体"/>
          <w:b w:val="0"/>
          <w:sz w:val="22"/>
        </w:rPr>
        <w:t>（二）肿瘤质控管理</w:t>
      </w:r>
    </w:p>
    <w:p w14:paraId="48B37D8B">
      <w:pPr>
        <w:spacing w:before="0" w:after="40" w:line="254" w:lineRule="auto"/>
        <w:ind w:firstLine="400"/>
      </w:pPr>
      <w:r>
        <w:rPr>
          <w:rFonts w:ascii="Times New Roman" w:hAnsi="Times New Roman" w:eastAsia="宋体"/>
          <w:b w:val="0"/>
          <w:sz w:val="20"/>
        </w:rPr>
        <w:t>政策要求：依据《三级公立医院绩效考核操作手册》肿瘤专业相关要求，诊疗质量考核包括首次治疗前临床分期评估率、首次非手术治疗前病理学诊断率、术后病理 TNM 分期率、围手术期死亡率、首次靶向免疫治疗前分子病理检测率、术中淋巴结清扫规范率六个维度，各维度分别限定适用癌种，需按癌种判定达标。</w:t>
      </w:r>
    </w:p>
    <w:p w14:paraId="7574FB97">
      <w:pPr>
        <w:spacing w:before="0" w:after="40" w:line="254" w:lineRule="auto"/>
        <w:ind w:firstLine="400"/>
      </w:pPr>
      <w:r>
        <w:rPr>
          <w:rFonts w:ascii="Times New Roman" w:hAnsi="Times New Roman" w:eastAsia="宋体"/>
          <w:b w:val="0"/>
          <w:sz w:val="20"/>
        </w:rPr>
        <w:t>系统能力：系统将六个维度全部纳入，以设区市和医疗机构为考核对象，按癌种设定达标线，每个指标给出分子、分母和数据来源，可直接下钻到具体病例和原始病历，避免“只有得分、说不清依据”。数据质量问题纳入同一考核口径，以工单下发责任机构，整改有时限、修改有留痕、逾期自动升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7438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4E4E4"/>
          </w:tcPr>
          <w:p w14:paraId="545F4B48">
            <w:pPr>
              <w:spacing w:before="10" w:after="10" w:line="216" w:lineRule="auto"/>
              <w:jc w:val="center"/>
            </w:pPr>
            <w:r>
              <w:rPr>
                <w:rFonts w:ascii="Times New Roman" w:hAnsi="Times New Roman" w:eastAsia="黑体"/>
                <w:b/>
                <w:sz w:val="17"/>
              </w:rPr>
              <w:t>功能模块</w:t>
            </w:r>
          </w:p>
        </w:tc>
        <w:tc>
          <w:tcPr>
            <w:tcW w:w="7257" w:type="dxa"/>
            <w:shd w:val="clear" w:color="auto" w:fill="E4E4E4"/>
          </w:tcPr>
          <w:p w14:paraId="2D561B6B">
            <w:pPr>
              <w:spacing w:before="10" w:after="10" w:line="216" w:lineRule="auto"/>
              <w:jc w:val="center"/>
            </w:pPr>
            <w:r>
              <w:rPr>
                <w:rFonts w:ascii="Times New Roman" w:hAnsi="Times New Roman" w:eastAsia="黑体"/>
                <w:b/>
                <w:sz w:val="17"/>
              </w:rPr>
              <w:t>主要功能</w:t>
            </w:r>
          </w:p>
        </w:tc>
      </w:tr>
      <w:tr w14:paraId="0145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3F05E74">
            <w:pPr>
              <w:spacing w:before="10" w:after="10" w:line="216" w:lineRule="auto"/>
            </w:pPr>
            <w:r>
              <w:rPr>
                <w:rFonts w:ascii="Times New Roman" w:hAnsi="Times New Roman" w:eastAsia="宋体"/>
                <w:b w:val="0"/>
                <w:sz w:val="17"/>
              </w:rPr>
              <w:t>六大绩效质控</w:t>
            </w:r>
          </w:p>
        </w:tc>
        <w:tc>
          <w:tcPr>
            <w:tcW w:w="7257" w:type="dxa"/>
          </w:tcPr>
          <w:p w14:paraId="422393E0">
            <w:pPr>
              <w:spacing w:before="10" w:after="10" w:line="216" w:lineRule="auto"/>
            </w:pPr>
            <w:r>
              <w:rPr>
                <w:rFonts w:ascii="Times New Roman" w:hAnsi="Times New Roman" w:eastAsia="宋体"/>
                <w:b w:val="0"/>
                <w:sz w:val="17"/>
              </w:rPr>
              <w:t>覆盖首次治疗前临床分期评估率、首次非手术治疗前病理学诊断率、术后病理 TNM 分期率、围手术期死亡率、首次靶向免疫治疗前分子病理检测率、术中淋巴结清扫规范率六项，按癌种分别判定达标；以设区市和医疗机构为考核对象，显示分子分母与数据来源，可下钻至具体病例</w:t>
            </w:r>
          </w:p>
        </w:tc>
      </w:tr>
      <w:tr w14:paraId="3E4C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F54FF51">
            <w:pPr>
              <w:spacing w:before="10" w:after="10" w:line="216" w:lineRule="auto"/>
            </w:pPr>
            <w:r>
              <w:rPr>
                <w:rFonts w:ascii="Times New Roman" w:hAnsi="Times New Roman" w:eastAsia="宋体"/>
                <w:b w:val="0"/>
                <w:sz w:val="17"/>
              </w:rPr>
              <w:t>质控规则配置</w:t>
            </w:r>
          </w:p>
        </w:tc>
        <w:tc>
          <w:tcPr>
            <w:tcW w:w="7257" w:type="dxa"/>
          </w:tcPr>
          <w:p w14:paraId="310E6D75">
            <w:pPr>
              <w:spacing w:before="10" w:after="10" w:line="216" w:lineRule="auto"/>
            </w:pPr>
            <w:r>
              <w:rPr>
                <w:rFonts w:ascii="Times New Roman" w:hAnsi="Times New Roman" w:eastAsia="宋体"/>
                <w:b w:val="0"/>
                <w:sz w:val="17"/>
              </w:rPr>
              <w:t>质控规则的新建、编辑、启停与分组标签维护，全省执行同一标准</w:t>
            </w:r>
          </w:p>
        </w:tc>
      </w:tr>
      <w:tr w14:paraId="7D27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3F3121A">
            <w:pPr>
              <w:spacing w:before="10" w:after="10" w:line="216" w:lineRule="auto"/>
            </w:pPr>
            <w:r>
              <w:rPr>
                <w:rFonts w:ascii="Times New Roman" w:hAnsi="Times New Roman" w:eastAsia="宋体"/>
                <w:b w:val="0"/>
                <w:sz w:val="17"/>
              </w:rPr>
              <w:t>整改问题</w:t>
            </w:r>
          </w:p>
        </w:tc>
        <w:tc>
          <w:tcPr>
            <w:tcW w:w="7257" w:type="dxa"/>
          </w:tcPr>
          <w:p w14:paraId="0808AC99">
            <w:pPr>
              <w:spacing w:before="10" w:after="10" w:line="216" w:lineRule="auto"/>
            </w:pPr>
            <w:r>
              <w:rPr>
                <w:rFonts w:ascii="Times New Roman" w:hAnsi="Times New Roman" w:eastAsia="宋体"/>
                <w:b w:val="0"/>
                <w:sz w:val="17"/>
              </w:rPr>
              <w:t>质控问题下发、机构整改、复核关闭的工单化闭环，处理有时限、修改留痕、责任可追溯</w:t>
            </w:r>
          </w:p>
        </w:tc>
      </w:tr>
      <w:tr w14:paraId="069E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7101D05">
            <w:pPr>
              <w:spacing w:before="10" w:after="10" w:line="216" w:lineRule="auto"/>
            </w:pPr>
            <w:r>
              <w:rPr>
                <w:rFonts w:ascii="Times New Roman" w:hAnsi="Times New Roman" w:eastAsia="宋体"/>
                <w:b w:val="0"/>
                <w:sz w:val="17"/>
              </w:rPr>
              <w:t>审核质控</w:t>
            </w:r>
          </w:p>
        </w:tc>
        <w:tc>
          <w:tcPr>
            <w:tcW w:w="7257" w:type="dxa"/>
          </w:tcPr>
          <w:p w14:paraId="0DEE67D0">
            <w:pPr>
              <w:spacing w:before="10" w:after="10" w:line="216" w:lineRule="auto"/>
            </w:pPr>
            <w:r>
              <w:rPr>
                <w:rFonts w:ascii="Times New Roman" w:hAnsi="Times New Roman" w:eastAsia="宋体"/>
                <w:b w:val="0"/>
                <w:sz w:val="17"/>
              </w:rPr>
              <w:t>待办工作台处理初审、复审、终审；质控规则查阅；质控审计日志追溯</w:t>
            </w:r>
          </w:p>
        </w:tc>
      </w:tr>
    </w:tbl>
    <w:p w14:paraId="7A5624E3">
      <w:pPr>
        <w:spacing w:before="140" w:after="60" w:line="300" w:lineRule="auto"/>
      </w:pPr>
      <w:r>
        <w:rPr>
          <w:rFonts w:ascii="Times New Roman" w:hAnsi="Times New Roman" w:eastAsia="黑体"/>
          <w:b w:val="0"/>
          <w:sz w:val="22"/>
        </w:rPr>
        <w:t>（三）数据统计与年报报送</w:t>
      </w:r>
    </w:p>
    <w:p w14:paraId="449752F5">
      <w:pPr>
        <w:spacing w:before="0" w:after="40" w:line="254" w:lineRule="auto"/>
        <w:ind w:firstLine="400"/>
      </w:pPr>
      <w:r>
        <w:rPr>
          <w:rFonts w:ascii="Times New Roman" w:hAnsi="Times New Roman" w:eastAsia="宋体"/>
          <w:b w:val="0"/>
          <w:sz w:val="20"/>
        </w:rPr>
        <w:t>政策要求：依据《中国肿瘤登记工作指导手册》和国家癌症中心年报编制要求，各登记处需按年度编制肿瘤登记年报，规范计算发病率、死亡率及中国标化率、世界标化率，并按国家规定时限上报国家肿瘤登记平台。</w:t>
      </w:r>
    </w:p>
    <w:p w14:paraId="29BAA3C7">
      <w:pPr>
        <w:spacing w:before="0" w:after="40" w:line="254" w:lineRule="auto"/>
        <w:ind w:firstLine="400"/>
      </w:pPr>
      <w:r>
        <w:rPr>
          <w:rFonts w:ascii="Times New Roman" w:hAnsi="Times New Roman" w:eastAsia="宋体"/>
          <w:b w:val="0"/>
          <w:sz w:val="20"/>
        </w:rPr>
        <w:t>系统能力：系统把年报编制拆解为建立任务、数据准备、质量校验、统计分析、正文编制、审核、发布归档七个阶段，各阶段设准入条件，数据未核对完不能进入统计、质控未通过不能编制正文，统计产物固化数据快照、数据变更后自动失效，防止正文与数据口径不一致；上报国家平台取得回执后方可归档。日常报送按机构自动汇总上报量与质量指标，管理人员可逐级下钻查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31F7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4E4E4"/>
          </w:tcPr>
          <w:p w14:paraId="70F2B7FA">
            <w:pPr>
              <w:spacing w:before="10" w:after="10" w:line="216" w:lineRule="auto"/>
              <w:jc w:val="center"/>
            </w:pPr>
            <w:r>
              <w:rPr>
                <w:rFonts w:ascii="Times New Roman" w:hAnsi="Times New Roman" w:eastAsia="黑体"/>
                <w:b/>
                <w:sz w:val="17"/>
              </w:rPr>
              <w:t>功能模块</w:t>
            </w:r>
          </w:p>
        </w:tc>
        <w:tc>
          <w:tcPr>
            <w:tcW w:w="7257" w:type="dxa"/>
            <w:shd w:val="clear" w:color="auto" w:fill="E4E4E4"/>
          </w:tcPr>
          <w:p w14:paraId="5539D307">
            <w:pPr>
              <w:spacing w:before="10" w:after="10" w:line="216" w:lineRule="auto"/>
              <w:jc w:val="center"/>
            </w:pPr>
            <w:r>
              <w:rPr>
                <w:rFonts w:ascii="Times New Roman" w:hAnsi="Times New Roman" w:eastAsia="黑体"/>
                <w:b/>
                <w:sz w:val="17"/>
              </w:rPr>
              <w:t>主要功能</w:t>
            </w:r>
          </w:p>
        </w:tc>
      </w:tr>
      <w:tr w14:paraId="4F71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865AB1C">
            <w:pPr>
              <w:spacing w:before="10" w:after="10" w:line="216" w:lineRule="auto"/>
            </w:pPr>
            <w:r>
              <w:rPr>
                <w:rFonts w:ascii="Times New Roman" w:hAnsi="Times New Roman" w:eastAsia="宋体"/>
                <w:b w:val="0"/>
                <w:sz w:val="17"/>
              </w:rPr>
              <w:t>数据看板</w:t>
            </w:r>
          </w:p>
        </w:tc>
        <w:tc>
          <w:tcPr>
            <w:tcW w:w="7257" w:type="dxa"/>
          </w:tcPr>
          <w:p w14:paraId="03DB3928">
            <w:pPr>
              <w:spacing w:before="10" w:after="10" w:line="216" w:lineRule="auto"/>
            </w:pPr>
            <w:r>
              <w:rPr>
                <w:rFonts w:ascii="Times New Roman" w:hAnsi="Times New Roman" w:eastAsia="宋体"/>
                <w:b w:val="0"/>
                <w:sz w:val="17"/>
              </w:rPr>
              <w:t>发病、死亡、质控、随访核心指标集中展示，支持按地区、癌种、时间逐级下钻</w:t>
            </w:r>
          </w:p>
        </w:tc>
      </w:tr>
      <w:tr w14:paraId="00DD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35F9C31">
            <w:pPr>
              <w:spacing w:before="10" w:after="10" w:line="216" w:lineRule="auto"/>
            </w:pPr>
            <w:r>
              <w:rPr>
                <w:rFonts w:ascii="Times New Roman" w:hAnsi="Times New Roman" w:eastAsia="宋体"/>
                <w:b w:val="0"/>
                <w:sz w:val="17"/>
              </w:rPr>
              <w:t>统计分析</w:t>
            </w:r>
          </w:p>
        </w:tc>
        <w:tc>
          <w:tcPr>
            <w:tcW w:w="7257" w:type="dxa"/>
          </w:tcPr>
          <w:p w14:paraId="73915F4F">
            <w:pPr>
              <w:spacing w:before="10" w:after="10" w:line="216" w:lineRule="auto"/>
            </w:pPr>
            <w:r>
              <w:rPr>
                <w:rFonts w:ascii="Times New Roman" w:hAnsi="Times New Roman" w:eastAsia="宋体"/>
                <w:b w:val="0"/>
                <w:sz w:val="17"/>
              </w:rPr>
              <w:t>多维交叉统计、中国标化率与世界标化率自动计算，图表呈现与导出</w:t>
            </w:r>
          </w:p>
        </w:tc>
      </w:tr>
      <w:tr w14:paraId="1F370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E9BE439">
            <w:pPr>
              <w:spacing w:before="10" w:after="10" w:line="216" w:lineRule="auto"/>
            </w:pPr>
            <w:r>
              <w:rPr>
                <w:rFonts w:ascii="Times New Roman" w:hAnsi="Times New Roman" w:eastAsia="宋体"/>
                <w:b w:val="0"/>
                <w:sz w:val="17"/>
              </w:rPr>
              <w:t>报卡工作量</w:t>
            </w:r>
          </w:p>
        </w:tc>
        <w:tc>
          <w:tcPr>
            <w:tcW w:w="7257" w:type="dxa"/>
          </w:tcPr>
          <w:p w14:paraId="1CF39C84">
            <w:pPr>
              <w:spacing w:before="10" w:after="10" w:line="216" w:lineRule="auto"/>
            </w:pPr>
            <w:r>
              <w:rPr>
                <w:rFonts w:ascii="Times New Roman" w:hAnsi="Times New Roman" w:eastAsia="宋体"/>
                <w:b w:val="0"/>
                <w:sz w:val="17"/>
              </w:rPr>
              <w:t>按机构统计上报数量与办理进度，标识零上报和低上报单位</w:t>
            </w:r>
          </w:p>
        </w:tc>
      </w:tr>
      <w:tr w14:paraId="77345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FE0A2E2">
            <w:pPr>
              <w:spacing w:before="10" w:after="10" w:line="216" w:lineRule="auto"/>
            </w:pPr>
            <w:r>
              <w:rPr>
                <w:rFonts w:ascii="Times New Roman" w:hAnsi="Times New Roman" w:eastAsia="宋体"/>
                <w:b w:val="0"/>
                <w:sz w:val="17"/>
              </w:rPr>
              <w:t>报卡质量监测</w:t>
            </w:r>
          </w:p>
        </w:tc>
        <w:tc>
          <w:tcPr>
            <w:tcW w:w="7257" w:type="dxa"/>
          </w:tcPr>
          <w:p w14:paraId="2D08E092">
            <w:pPr>
              <w:spacing w:before="10" w:after="10" w:line="216" w:lineRule="auto"/>
            </w:pPr>
            <w:r>
              <w:rPr>
                <w:rFonts w:ascii="Times New Roman" w:hAnsi="Times New Roman" w:eastAsia="宋体"/>
                <w:b w:val="0"/>
                <w:sz w:val="17"/>
              </w:rPr>
              <w:t>上报及时率、错误率等数据质量指标监测与异常标记</w:t>
            </w:r>
          </w:p>
        </w:tc>
      </w:tr>
      <w:tr w14:paraId="7107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88C148A">
            <w:pPr>
              <w:spacing w:before="10" w:after="10" w:line="216" w:lineRule="auto"/>
            </w:pPr>
            <w:r>
              <w:rPr>
                <w:rFonts w:ascii="Times New Roman" w:hAnsi="Times New Roman" w:eastAsia="宋体"/>
                <w:b w:val="0"/>
                <w:sz w:val="17"/>
              </w:rPr>
              <w:t>报表文件库</w:t>
            </w:r>
          </w:p>
        </w:tc>
        <w:tc>
          <w:tcPr>
            <w:tcW w:w="7257" w:type="dxa"/>
          </w:tcPr>
          <w:p w14:paraId="1D90DF75">
            <w:pPr>
              <w:spacing w:before="10" w:after="10" w:line="216" w:lineRule="auto"/>
            </w:pPr>
            <w:r>
              <w:rPr>
                <w:rFonts w:ascii="Times New Roman" w:hAnsi="Times New Roman" w:eastAsia="宋体"/>
                <w:b w:val="0"/>
                <w:sz w:val="17"/>
              </w:rPr>
              <w:t>统计报表文件归档、下载与版本留存</w:t>
            </w:r>
          </w:p>
        </w:tc>
      </w:tr>
      <w:tr w14:paraId="5FCD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D938D01">
            <w:pPr>
              <w:spacing w:before="10" w:after="10" w:line="216" w:lineRule="auto"/>
            </w:pPr>
            <w:r>
              <w:rPr>
                <w:rFonts w:ascii="Times New Roman" w:hAnsi="Times New Roman" w:eastAsia="宋体"/>
                <w:b w:val="0"/>
                <w:sz w:val="17"/>
              </w:rPr>
              <w:t>国家肿瘤数据上报</w:t>
            </w:r>
          </w:p>
        </w:tc>
        <w:tc>
          <w:tcPr>
            <w:tcW w:w="7257" w:type="dxa"/>
          </w:tcPr>
          <w:p w14:paraId="6E91BDD2">
            <w:pPr>
              <w:spacing w:before="10" w:after="10" w:line="216" w:lineRule="auto"/>
            </w:pPr>
            <w:r>
              <w:rPr>
                <w:rFonts w:ascii="Times New Roman" w:hAnsi="Times New Roman" w:eastAsia="宋体"/>
                <w:b w:val="0"/>
                <w:sz w:val="17"/>
              </w:rPr>
              <w:t>数据预览、上报记录、上报列表，与国家平台对接并留存回执</w:t>
            </w:r>
          </w:p>
        </w:tc>
      </w:tr>
      <w:tr w14:paraId="6068B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27B46AB">
            <w:pPr>
              <w:spacing w:before="10" w:after="10" w:line="216" w:lineRule="auto"/>
            </w:pPr>
            <w:r>
              <w:rPr>
                <w:rFonts w:ascii="Times New Roman" w:hAnsi="Times New Roman" w:eastAsia="宋体"/>
                <w:b w:val="0"/>
                <w:sz w:val="17"/>
              </w:rPr>
              <w:t>年报</w:t>
            </w:r>
          </w:p>
        </w:tc>
        <w:tc>
          <w:tcPr>
            <w:tcW w:w="7257" w:type="dxa"/>
          </w:tcPr>
          <w:p w14:paraId="24E11A43">
            <w:pPr>
              <w:spacing w:before="10" w:after="10" w:line="216" w:lineRule="auto"/>
            </w:pPr>
            <w:r>
              <w:rPr>
                <w:rFonts w:ascii="Times New Roman" w:hAnsi="Times New Roman" w:eastAsia="宋体"/>
                <w:b w:val="0"/>
                <w:sz w:val="17"/>
              </w:rPr>
              <w:t>年报任务、编制工作台、模板管理、归档记录；编制按七个阶段推进，各阶段设准入条件，未取得国家平台回执不得归档</w:t>
            </w:r>
          </w:p>
        </w:tc>
      </w:tr>
    </w:tbl>
    <w:p w14:paraId="5C739410">
      <w:pPr>
        <w:spacing w:before="140" w:after="60" w:line="300" w:lineRule="auto"/>
      </w:pPr>
      <w:r>
        <w:rPr>
          <w:rFonts w:ascii="Times New Roman" w:hAnsi="Times New Roman" w:eastAsia="黑体"/>
          <w:b w:val="0"/>
          <w:sz w:val="22"/>
        </w:rPr>
        <w:t>（四）肿瘤监测与预警</w:t>
      </w:r>
    </w:p>
    <w:p w14:paraId="43FB2BDA">
      <w:pPr>
        <w:spacing w:before="0" w:after="40" w:line="254" w:lineRule="auto"/>
        <w:ind w:firstLine="400"/>
      </w:pPr>
      <w:r>
        <w:rPr>
          <w:rFonts w:ascii="Times New Roman" w:hAnsi="Times New Roman" w:eastAsia="宋体"/>
          <w:b w:val="0"/>
          <w:sz w:val="20"/>
        </w:rPr>
        <w:t>肿瘤监测要求及时掌握发病与死亡变化趋势，对异常升高尽早发现、尽早核查，为防治策略调整提供依据。</w:t>
      </w:r>
    </w:p>
    <w:p w14:paraId="419DAC5C">
      <w:pPr>
        <w:spacing w:before="0" w:after="40" w:line="254" w:lineRule="auto"/>
        <w:ind w:firstLine="400"/>
      </w:pPr>
      <w:r>
        <w:rPr>
          <w:rFonts w:ascii="Times New Roman" w:hAnsi="Times New Roman" w:eastAsia="宋体"/>
          <w:b w:val="0"/>
          <w:sz w:val="20"/>
        </w:rPr>
        <w:t>系统能力：全省上报数据实时汇聚，按地区、年龄、性别、癌种、时间多维交叉统计并自动计算标化率，当某地区某癌种发病数超过历史同期均值 20% 时自动告警并生成核查工单，异常不再依赖人工翻看报表发现。预警进入处置督导环节，责任方按期处置、逾期自动升级，并对规则命中与误报持续分析，使预警阈值越用越准。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4D0C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4E4E4"/>
          </w:tcPr>
          <w:p w14:paraId="6C5ED485">
            <w:pPr>
              <w:spacing w:before="10" w:after="10" w:line="216" w:lineRule="auto"/>
              <w:jc w:val="center"/>
            </w:pPr>
            <w:r>
              <w:rPr>
                <w:rFonts w:ascii="Times New Roman" w:hAnsi="Times New Roman" w:eastAsia="黑体"/>
                <w:b/>
                <w:sz w:val="17"/>
              </w:rPr>
              <w:t>功能模块</w:t>
            </w:r>
          </w:p>
        </w:tc>
        <w:tc>
          <w:tcPr>
            <w:tcW w:w="7257" w:type="dxa"/>
            <w:shd w:val="clear" w:color="auto" w:fill="E4E4E4"/>
          </w:tcPr>
          <w:p w14:paraId="0DD565F3">
            <w:pPr>
              <w:spacing w:before="10" w:after="10" w:line="216" w:lineRule="auto"/>
              <w:jc w:val="center"/>
            </w:pPr>
            <w:r>
              <w:rPr>
                <w:rFonts w:ascii="Times New Roman" w:hAnsi="Times New Roman" w:eastAsia="黑体"/>
                <w:b/>
                <w:sz w:val="17"/>
              </w:rPr>
              <w:t>主要功能</w:t>
            </w:r>
          </w:p>
        </w:tc>
      </w:tr>
      <w:tr w14:paraId="2360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791D46A">
            <w:pPr>
              <w:spacing w:before="10" w:after="10" w:line="216" w:lineRule="auto"/>
            </w:pPr>
            <w:r>
              <w:rPr>
                <w:rFonts w:ascii="Times New Roman" w:hAnsi="Times New Roman" w:eastAsia="宋体"/>
                <w:b w:val="0"/>
                <w:sz w:val="17"/>
              </w:rPr>
              <w:t>预警记录</w:t>
            </w:r>
          </w:p>
        </w:tc>
        <w:tc>
          <w:tcPr>
            <w:tcW w:w="7257" w:type="dxa"/>
          </w:tcPr>
          <w:p w14:paraId="7CABA0E1">
            <w:pPr>
              <w:spacing w:before="10" w:after="10" w:line="216" w:lineRule="auto"/>
            </w:pPr>
            <w:r>
              <w:rPr>
                <w:rFonts w:ascii="Times New Roman" w:hAnsi="Times New Roman" w:eastAsia="宋体"/>
                <w:b w:val="0"/>
                <w:sz w:val="17"/>
              </w:rPr>
              <w:t>阈值预警自动生成并记录告警信息与处置状态</w:t>
            </w:r>
          </w:p>
        </w:tc>
      </w:tr>
      <w:tr w14:paraId="55A49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E0E952">
            <w:pPr>
              <w:spacing w:before="10" w:after="10" w:line="216" w:lineRule="auto"/>
            </w:pPr>
            <w:r>
              <w:rPr>
                <w:rFonts w:ascii="Times New Roman" w:hAnsi="Times New Roman" w:eastAsia="宋体"/>
                <w:b w:val="0"/>
                <w:sz w:val="17"/>
              </w:rPr>
              <w:t>处置督导分析</w:t>
            </w:r>
          </w:p>
        </w:tc>
        <w:tc>
          <w:tcPr>
            <w:tcW w:w="7257" w:type="dxa"/>
          </w:tcPr>
          <w:p w14:paraId="25B9BAFA">
            <w:pPr>
              <w:spacing w:before="10" w:after="10" w:line="216" w:lineRule="auto"/>
            </w:pPr>
            <w:r>
              <w:rPr>
                <w:rFonts w:ascii="Times New Roman" w:hAnsi="Times New Roman" w:eastAsia="宋体"/>
                <w:b w:val="0"/>
                <w:sz w:val="17"/>
              </w:rPr>
              <w:t>含处置总览、责任方督导、时限达成管理、结论与整改成效、规则命中与误报分析五个视图</w:t>
            </w:r>
          </w:p>
        </w:tc>
      </w:tr>
      <w:tr w14:paraId="57C8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41F13F1">
            <w:pPr>
              <w:spacing w:before="10" w:after="10" w:line="216" w:lineRule="auto"/>
            </w:pPr>
            <w:r>
              <w:rPr>
                <w:rFonts w:ascii="Times New Roman" w:hAnsi="Times New Roman" w:eastAsia="宋体"/>
                <w:b w:val="0"/>
                <w:sz w:val="17"/>
              </w:rPr>
              <w:t>处置工单</w:t>
            </w:r>
          </w:p>
        </w:tc>
        <w:tc>
          <w:tcPr>
            <w:tcW w:w="7257" w:type="dxa"/>
          </w:tcPr>
          <w:p w14:paraId="0F623DAF">
            <w:pPr>
              <w:spacing w:before="10" w:after="10" w:line="216" w:lineRule="auto"/>
            </w:pPr>
            <w:r>
              <w:rPr>
                <w:rFonts w:ascii="Times New Roman" w:hAnsi="Times New Roman" w:eastAsia="宋体"/>
                <w:b w:val="0"/>
                <w:sz w:val="17"/>
              </w:rPr>
              <w:t>预警工单的创建、分派、处理与办结归档</w:t>
            </w:r>
          </w:p>
        </w:tc>
      </w:tr>
      <w:tr w14:paraId="44A1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922673A">
            <w:pPr>
              <w:spacing w:before="10" w:after="10" w:line="216" w:lineRule="auto"/>
            </w:pPr>
            <w:r>
              <w:rPr>
                <w:rFonts w:ascii="Times New Roman" w:hAnsi="Times New Roman" w:eastAsia="宋体"/>
                <w:b w:val="0"/>
                <w:sz w:val="17"/>
              </w:rPr>
              <w:t>预警规则配置</w:t>
            </w:r>
          </w:p>
        </w:tc>
        <w:tc>
          <w:tcPr>
            <w:tcW w:w="7257" w:type="dxa"/>
          </w:tcPr>
          <w:p w14:paraId="70B84B0D">
            <w:pPr>
              <w:spacing w:before="10" w:after="10" w:line="216" w:lineRule="auto"/>
            </w:pPr>
            <w:r>
              <w:rPr>
                <w:rFonts w:ascii="Times New Roman" w:hAnsi="Times New Roman" w:eastAsia="宋体"/>
                <w:b w:val="0"/>
                <w:sz w:val="17"/>
              </w:rPr>
              <w:t>预警规则与阈值的维护，可按癌种和地区分别设定</w:t>
            </w:r>
          </w:p>
        </w:tc>
      </w:tr>
    </w:tbl>
    <w:p w14:paraId="5ADE0740">
      <w:pPr>
        <w:spacing w:before="140" w:after="60" w:line="300" w:lineRule="auto"/>
      </w:pPr>
      <w:r>
        <w:rPr>
          <w:rFonts w:ascii="Times New Roman" w:hAnsi="Times New Roman" w:eastAsia="黑体"/>
          <w:b w:val="0"/>
          <w:sz w:val="22"/>
        </w:rPr>
        <w:t>（五）肿瘤专科画像</w:t>
      </w:r>
    </w:p>
    <w:p w14:paraId="7C667ABF">
      <w:pPr>
        <w:spacing w:before="0" w:after="40" w:line="254" w:lineRule="auto"/>
        <w:ind w:firstLine="400"/>
      </w:pPr>
      <w:r>
        <w:rPr>
          <w:rFonts w:ascii="Times New Roman" w:hAnsi="Times New Roman" w:eastAsia="宋体"/>
          <w:b w:val="0"/>
          <w:sz w:val="20"/>
        </w:rPr>
        <w:t>诊疗规范化评价要求对患者的病理类型、分期、分子靶点、手术与放化疗方案、疗效评价等要素形成完整记录，并以此判定诊疗是否符合规范。</w:t>
      </w:r>
    </w:p>
    <w:p w14:paraId="468CEEB8">
      <w:pPr>
        <w:spacing w:before="0" w:after="40" w:line="254" w:lineRule="auto"/>
        <w:ind w:firstLine="400"/>
      </w:pPr>
      <w:r>
        <w:rPr>
          <w:rFonts w:ascii="Times New Roman" w:hAnsi="Times New Roman" w:eastAsia="宋体"/>
          <w:b w:val="0"/>
          <w:sz w:val="20"/>
        </w:rPr>
        <w:t>系统能力：系统为每位患者建立全景视图，按入院建档、治疗过程、结局管理三个阶段组织诊疗要素，核心要素嵌入采集并实时显示完整度，缺失项智能推荐补录，避免事后补数据；治疗过程中自动核验疗效评价、用药方案与不良反应分级。区域层面按疾病负担、早期发现、规范诊疗、生存结局、资源与公平五个方面以级联方式展示患者流转和环节流失，直观反映防治链条短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5E28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4E4E4"/>
          </w:tcPr>
          <w:p w14:paraId="2EF8348B">
            <w:pPr>
              <w:spacing w:before="10" w:after="10" w:line="216" w:lineRule="auto"/>
              <w:jc w:val="center"/>
            </w:pPr>
            <w:r>
              <w:rPr>
                <w:rFonts w:ascii="Times New Roman" w:hAnsi="Times New Roman" w:eastAsia="黑体"/>
                <w:b/>
                <w:sz w:val="17"/>
              </w:rPr>
              <w:t>功能模块</w:t>
            </w:r>
          </w:p>
        </w:tc>
        <w:tc>
          <w:tcPr>
            <w:tcW w:w="7257" w:type="dxa"/>
            <w:shd w:val="clear" w:color="auto" w:fill="E4E4E4"/>
          </w:tcPr>
          <w:p w14:paraId="215E04C1">
            <w:pPr>
              <w:spacing w:before="10" w:after="10" w:line="216" w:lineRule="auto"/>
              <w:jc w:val="center"/>
            </w:pPr>
            <w:r>
              <w:rPr>
                <w:rFonts w:ascii="Times New Roman" w:hAnsi="Times New Roman" w:eastAsia="黑体"/>
                <w:b/>
                <w:sz w:val="17"/>
              </w:rPr>
              <w:t>主要功能</w:t>
            </w:r>
          </w:p>
        </w:tc>
      </w:tr>
      <w:tr w14:paraId="04E1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F9E7BDA">
            <w:pPr>
              <w:spacing w:before="10" w:after="10" w:line="216" w:lineRule="auto"/>
            </w:pPr>
            <w:r>
              <w:rPr>
                <w:rFonts w:ascii="Times New Roman" w:hAnsi="Times New Roman" w:eastAsia="宋体"/>
                <w:b w:val="0"/>
                <w:sz w:val="17"/>
              </w:rPr>
              <w:t>患者专科画像</w:t>
            </w:r>
          </w:p>
        </w:tc>
        <w:tc>
          <w:tcPr>
            <w:tcW w:w="7257" w:type="dxa"/>
          </w:tcPr>
          <w:p w14:paraId="5D7FB9A6">
            <w:pPr>
              <w:spacing w:before="10" w:after="10" w:line="216" w:lineRule="auto"/>
            </w:pPr>
            <w:r>
              <w:rPr>
                <w:rFonts w:ascii="Times New Roman" w:hAnsi="Times New Roman" w:eastAsia="宋体"/>
                <w:b w:val="0"/>
                <w:sz w:val="17"/>
              </w:rPr>
              <w:t>以患者为中心的 360° 视图，按入院建档、治疗过程、结局管理三个阶段组织诊疗要素，跨体系数据串联</w:t>
            </w:r>
          </w:p>
        </w:tc>
      </w:tr>
      <w:tr w14:paraId="16FB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D61F8F3">
            <w:pPr>
              <w:spacing w:before="10" w:after="10" w:line="216" w:lineRule="auto"/>
            </w:pPr>
            <w:r>
              <w:rPr>
                <w:rFonts w:ascii="Times New Roman" w:hAnsi="Times New Roman" w:eastAsia="宋体"/>
                <w:b w:val="0"/>
                <w:sz w:val="17"/>
              </w:rPr>
              <w:t>画像指标汇总</w:t>
            </w:r>
          </w:p>
        </w:tc>
        <w:tc>
          <w:tcPr>
            <w:tcW w:w="7257" w:type="dxa"/>
          </w:tcPr>
          <w:p w14:paraId="45466968">
            <w:pPr>
              <w:spacing w:before="10" w:after="10" w:line="216" w:lineRule="auto"/>
            </w:pPr>
            <w:r>
              <w:rPr>
                <w:rFonts w:ascii="Times New Roman" w:hAnsi="Times New Roman" w:eastAsia="宋体"/>
                <w:b w:val="0"/>
                <w:sz w:val="17"/>
              </w:rPr>
              <w:t>群体画像按疾病负担、早期发现、规范诊疗、生存结局、资源与公平五方面组织，以级联方式展示患者流转和环节流失</w:t>
            </w:r>
          </w:p>
        </w:tc>
      </w:tr>
      <w:tr w14:paraId="7478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FF305DF">
            <w:pPr>
              <w:spacing w:before="10" w:after="10" w:line="216" w:lineRule="auto"/>
            </w:pPr>
            <w:r>
              <w:rPr>
                <w:rFonts w:ascii="Times New Roman" w:hAnsi="Times New Roman" w:eastAsia="宋体"/>
                <w:b w:val="0"/>
                <w:sz w:val="17"/>
              </w:rPr>
              <w:t>画像配置</w:t>
            </w:r>
          </w:p>
        </w:tc>
        <w:tc>
          <w:tcPr>
            <w:tcW w:w="7257" w:type="dxa"/>
          </w:tcPr>
          <w:p w14:paraId="32CBF4F5">
            <w:pPr>
              <w:spacing w:before="10" w:after="10" w:line="216" w:lineRule="auto"/>
            </w:pPr>
            <w:r>
              <w:rPr>
                <w:rFonts w:ascii="Times New Roman" w:hAnsi="Times New Roman" w:eastAsia="宋体"/>
                <w:b w:val="0"/>
                <w:sz w:val="17"/>
              </w:rPr>
              <w:t>画像要素定义、分组、启停与维度绑定，由省级统一配置</w:t>
            </w:r>
          </w:p>
        </w:tc>
      </w:tr>
      <w:tr w14:paraId="4A3A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2A09893">
            <w:pPr>
              <w:spacing w:before="10" w:after="10" w:line="216" w:lineRule="auto"/>
            </w:pPr>
            <w:r>
              <w:rPr>
                <w:rFonts w:ascii="Times New Roman" w:hAnsi="Times New Roman" w:eastAsia="宋体"/>
                <w:b w:val="0"/>
                <w:sz w:val="17"/>
              </w:rPr>
              <w:t>肿瘤专科能力分析</w:t>
            </w:r>
          </w:p>
        </w:tc>
        <w:tc>
          <w:tcPr>
            <w:tcW w:w="7257" w:type="dxa"/>
          </w:tcPr>
          <w:p w14:paraId="0A7E52C9">
            <w:pPr>
              <w:spacing w:before="10" w:after="10" w:line="216" w:lineRule="auto"/>
            </w:pPr>
            <w:r>
              <w:rPr>
                <w:rFonts w:ascii="Times New Roman" w:hAnsi="Times New Roman" w:eastAsia="宋体"/>
                <w:b w:val="0"/>
                <w:sz w:val="17"/>
              </w:rPr>
              <w:t>含肿瘤诊疗技术目录、机构技术开展记录、医疗质量核心指标明细、疑难病例收治特征库</w:t>
            </w:r>
          </w:p>
        </w:tc>
      </w:tr>
    </w:tbl>
    <w:p w14:paraId="2F4C073D">
      <w:pPr>
        <w:spacing w:before="140" w:after="60" w:line="300" w:lineRule="auto"/>
      </w:pPr>
      <w:r>
        <w:rPr>
          <w:rFonts w:ascii="Times New Roman" w:hAnsi="Times New Roman" w:eastAsia="黑体"/>
          <w:b w:val="0"/>
          <w:sz w:val="22"/>
        </w:rPr>
        <w:t>（六）健康服务</w:t>
      </w:r>
    </w:p>
    <w:p w14:paraId="4FF4E707">
      <w:pPr>
        <w:spacing w:before="0" w:after="40" w:line="254" w:lineRule="auto"/>
        <w:ind w:firstLine="400"/>
      </w:pPr>
      <w:r>
        <w:rPr>
          <w:rFonts w:ascii="Times New Roman" w:hAnsi="Times New Roman" w:eastAsia="宋体"/>
          <w:b w:val="0"/>
          <w:sz w:val="20"/>
        </w:rPr>
        <w:t>政策与业务要求：癌症防治工作要求加强健康教育，普及防癌知识、提升居民早诊早治意识，同时加强对基层医疗卫生人员的业务培训，提高基层防治能力。</w:t>
      </w:r>
    </w:p>
    <w:p w14:paraId="23A07C33">
      <w:pPr>
        <w:spacing w:before="0" w:after="40" w:line="254" w:lineRule="auto"/>
        <w:ind w:firstLine="400"/>
      </w:pPr>
      <w:r>
        <w:rPr>
          <w:rFonts w:ascii="Times New Roman" w:hAnsi="Times New Roman" w:eastAsia="宋体"/>
          <w:b w:val="0"/>
          <w:sz w:val="20"/>
        </w:rPr>
        <w:t>系统能力：建立省级统一的科普内容库和培训教材库，居民可按病种、场景检索权威内容，基层医护人员可随时取用操作手册、SOP 和教学视频，解决基层培训资源不足、知识来源不权威的问题；内容均需标注来源、经审核后发布。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6EE2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4E4E4"/>
          </w:tcPr>
          <w:p w14:paraId="6A107422">
            <w:pPr>
              <w:spacing w:before="10" w:after="10" w:line="216" w:lineRule="auto"/>
              <w:jc w:val="center"/>
            </w:pPr>
            <w:r>
              <w:rPr>
                <w:rFonts w:ascii="Times New Roman" w:hAnsi="Times New Roman" w:eastAsia="黑体"/>
                <w:b/>
                <w:sz w:val="17"/>
              </w:rPr>
              <w:t>功能模块</w:t>
            </w:r>
          </w:p>
        </w:tc>
        <w:tc>
          <w:tcPr>
            <w:tcW w:w="7257" w:type="dxa"/>
            <w:shd w:val="clear" w:color="auto" w:fill="E4E4E4"/>
          </w:tcPr>
          <w:p w14:paraId="0C88BCED">
            <w:pPr>
              <w:spacing w:before="10" w:after="10" w:line="216" w:lineRule="auto"/>
              <w:jc w:val="center"/>
            </w:pPr>
            <w:r>
              <w:rPr>
                <w:rFonts w:ascii="Times New Roman" w:hAnsi="Times New Roman" w:eastAsia="黑体"/>
                <w:b/>
                <w:sz w:val="17"/>
              </w:rPr>
              <w:t>主要功能</w:t>
            </w:r>
          </w:p>
        </w:tc>
      </w:tr>
      <w:tr w14:paraId="1A60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E309829">
            <w:pPr>
              <w:spacing w:before="10" w:after="10" w:line="216" w:lineRule="auto"/>
            </w:pPr>
            <w:r>
              <w:rPr>
                <w:rFonts w:ascii="Times New Roman" w:hAnsi="Times New Roman" w:eastAsia="宋体"/>
                <w:b w:val="0"/>
                <w:sz w:val="17"/>
              </w:rPr>
              <w:t>科普内容</w:t>
            </w:r>
          </w:p>
        </w:tc>
        <w:tc>
          <w:tcPr>
            <w:tcW w:w="7257" w:type="dxa"/>
          </w:tcPr>
          <w:p w14:paraId="4924065D">
            <w:pPr>
              <w:spacing w:before="10" w:after="10" w:line="216" w:lineRule="auto"/>
            </w:pPr>
            <w:r>
              <w:rPr>
                <w:rFonts w:ascii="Times New Roman" w:hAnsi="Times New Roman" w:eastAsia="宋体"/>
                <w:b w:val="0"/>
                <w:sz w:val="17"/>
              </w:rPr>
              <w:t>按病种、使用场景、内容形式、状态检索，支持预览、收藏与取用</w:t>
            </w:r>
          </w:p>
        </w:tc>
      </w:tr>
      <w:tr w14:paraId="108B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EEC8091">
            <w:pPr>
              <w:spacing w:before="10" w:after="10" w:line="216" w:lineRule="auto"/>
            </w:pPr>
            <w:r>
              <w:rPr>
                <w:rFonts w:ascii="Times New Roman" w:hAnsi="Times New Roman" w:eastAsia="宋体"/>
                <w:b w:val="0"/>
                <w:sz w:val="17"/>
              </w:rPr>
              <w:t>培训内容</w:t>
            </w:r>
          </w:p>
        </w:tc>
        <w:tc>
          <w:tcPr>
            <w:tcW w:w="7257" w:type="dxa"/>
          </w:tcPr>
          <w:p w14:paraId="6C2D4EE4">
            <w:pPr>
              <w:spacing w:before="10" w:after="10" w:line="216" w:lineRule="auto"/>
            </w:pPr>
            <w:r>
              <w:rPr>
                <w:rFonts w:ascii="Times New Roman" w:hAnsi="Times New Roman" w:eastAsia="宋体"/>
                <w:b w:val="0"/>
                <w:sz w:val="17"/>
              </w:rPr>
              <w:t>全省统一教材管理，含课件、操作手册、SOP、教学视频</w:t>
            </w:r>
          </w:p>
        </w:tc>
      </w:tr>
      <w:tr w14:paraId="574BF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985CB0A">
            <w:pPr>
              <w:spacing w:before="10" w:after="10" w:line="216" w:lineRule="auto"/>
            </w:pPr>
            <w:r>
              <w:rPr>
                <w:rFonts w:ascii="Times New Roman" w:hAnsi="Times New Roman" w:eastAsia="宋体"/>
                <w:b w:val="0"/>
                <w:sz w:val="17"/>
              </w:rPr>
              <w:t>我的内容</w:t>
            </w:r>
          </w:p>
        </w:tc>
        <w:tc>
          <w:tcPr>
            <w:tcW w:w="7257" w:type="dxa"/>
          </w:tcPr>
          <w:p w14:paraId="50D310E6">
            <w:pPr>
              <w:spacing w:before="10" w:after="10" w:line="216" w:lineRule="auto"/>
            </w:pPr>
            <w:r>
              <w:rPr>
                <w:rFonts w:ascii="Times New Roman" w:hAnsi="Times New Roman" w:eastAsia="宋体"/>
                <w:b w:val="0"/>
                <w:sz w:val="17"/>
              </w:rPr>
              <w:t>收藏的科普与培训内容回看</w:t>
            </w:r>
          </w:p>
        </w:tc>
      </w:tr>
      <w:tr w14:paraId="2691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57DCC18">
            <w:pPr>
              <w:spacing w:before="10" w:after="10" w:line="216" w:lineRule="auto"/>
            </w:pPr>
            <w:r>
              <w:rPr>
                <w:rFonts w:ascii="Times New Roman" w:hAnsi="Times New Roman" w:eastAsia="宋体"/>
                <w:b w:val="0"/>
                <w:sz w:val="17"/>
              </w:rPr>
              <w:t>分类维护</w:t>
            </w:r>
          </w:p>
        </w:tc>
        <w:tc>
          <w:tcPr>
            <w:tcW w:w="7257" w:type="dxa"/>
          </w:tcPr>
          <w:p w14:paraId="6CD9F93C">
            <w:pPr>
              <w:spacing w:before="10" w:after="10" w:line="216" w:lineRule="auto"/>
            </w:pPr>
            <w:r>
              <w:rPr>
                <w:rFonts w:ascii="Times New Roman" w:hAnsi="Times New Roman" w:eastAsia="宋体"/>
                <w:b w:val="0"/>
                <w:sz w:val="17"/>
              </w:rPr>
              <w:t>病种、使用场景、标签、内容形式四类字典维护，改名同步更新引用</w:t>
            </w:r>
          </w:p>
        </w:tc>
      </w:tr>
      <w:tr w14:paraId="62B8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E913E02">
            <w:pPr>
              <w:spacing w:before="10" w:after="10" w:line="216" w:lineRule="auto"/>
            </w:pPr>
            <w:r>
              <w:rPr>
                <w:rFonts w:ascii="Times New Roman" w:hAnsi="Times New Roman" w:eastAsia="宋体"/>
                <w:b w:val="0"/>
                <w:sz w:val="17"/>
              </w:rPr>
              <w:t>资讯与问卷</w:t>
            </w:r>
          </w:p>
        </w:tc>
        <w:tc>
          <w:tcPr>
            <w:tcW w:w="7257" w:type="dxa"/>
          </w:tcPr>
          <w:p w14:paraId="04959BDE">
            <w:pPr>
              <w:spacing w:before="10" w:after="10" w:line="216" w:lineRule="auto"/>
            </w:pPr>
            <w:r>
              <w:rPr>
                <w:rFonts w:ascii="Times New Roman" w:hAnsi="Times New Roman" w:eastAsia="宋体"/>
                <w:b w:val="0"/>
                <w:sz w:val="17"/>
              </w:rPr>
              <w:t>公告通知、资讯管理、问卷管理、答卷管理与统计分析</w:t>
            </w:r>
          </w:p>
        </w:tc>
      </w:tr>
    </w:tbl>
    <w:p w14:paraId="64BAF419">
      <w:pPr>
        <w:spacing w:before="140" w:after="60" w:line="300" w:lineRule="auto"/>
      </w:pPr>
      <w:r>
        <w:rPr>
          <w:rFonts w:ascii="Times New Roman" w:hAnsi="Times New Roman" w:eastAsia="黑体"/>
          <w:b w:val="0"/>
          <w:sz w:val="22"/>
        </w:rPr>
        <w:t>（七）综合管理</w:t>
      </w:r>
    </w:p>
    <w:p w14:paraId="25283E6F">
      <w:pPr>
        <w:spacing w:before="0" w:after="40" w:line="254" w:lineRule="auto"/>
        <w:ind w:firstLine="400"/>
      </w:pPr>
      <w:r>
        <w:rPr>
          <w:rFonts w:ascii="Times New Roman" w:hAnsi="Times New Roman" w:eastAsia="宋体"/>
          <w:b w:val="0"/>
          <w:sz w:val="20"/>
        </w:rPr>
        <w:t>肿瘤登记编码、数据元需按统一标准执行；四级防治网络下，各级机构数据权限需按辖区严格区分；系统涉及居民健康信息，操作行为需全程可审计。</w:t>
      </w:r>
    </w:p>
    <w:p w14:paraId="1AFAFA68">
      <w:pPr>
        <w:spacing w:before="0" w:after="40" w:line="254" w:lineRule="auto"/>
        <w:ind w:firstLine="400"/>
      </w:pPr>
      <w:r>
        <w:rPr>
          <w:rFonts w:ascii="Times New Roman" w:hAnsi="Times New Roman" w:eastAsia="宋体"/>
          <w:b w:val="0"/>
          <w:sz w:val="20"/>
        </w:rPr>
        <w:t>系统能力：肿瘤分类编码、多原发判定规则、标准码表、临床路径由省级统一维护并在线发布，国家标准更新后即时全省生效，不再依赖厂商改程序，解决了以往标准更新滞后的根本问题。权限在菜单、按钮、数据行三个层面分级控制，各级机构和岗位的数据范围按行政区划自动限定，越级数据不可见；报卡、随访、地址变更和系统操作均留有审计日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7ED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4E4E4"/>
          </w:tcPr>
          <w:p w14:paraId="7C4DB829">
            <w:pPr>
              <w:spacing w:before="10" w:after="10" w:line="216" w:lineRule="auto"/>
              <w:jc w:val="center"/>
            </w:pPr>
            <w:r>
              <w:rPr>
                <w:rFonts w:ascii="Times New Roman" w:hAnsi="Times New Roman" w:eastAsia="黑体"/>
                <w:b/>
                <w:sz w:val="17"/>
              </w:rPr>
              <w:t>功能模块</w:t>
            </w:r>
          </w:p>
        </w:tc>
        <w:tc>
          <w:tcPr>
            <w:tcW w:w="7257" w:type="dxa"/>
            <w:shd w:val="clear" w:color="auto" w:fill="E4E4E4"/>
          </w:tcPr>
          <w:p w14:paraId="74FEB619">
            <w:pPr>
              <w:spacing w:before="10" w:after="10" w:line="216" w:lineRule="auto"/>
              <w:jc w:val="center"/>
            </w:pPr>
            <w:r>
              <w:rPr>
                <w:rFonts w:ascii="Times New Roman" w:hAnsi="Times New Roman" w:eastAsia="黑体"/>
                <w:b/>
                <w:sz w:val="17"/>
              </w:rPr>
              <w:t>主要功能</w:t>
            </w:r>
          </w:p>
        </w:tc>
      </w:tr>
      <w:tr w14:paraId="6064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E3022B1">
            <w:pPr>
              <w:spacing w:before="10" w:after="10" w:line="216" w:lineRule="auto"/>
            </w:pPr>
            <w:r>
              <w:rPr>
                <w:rFonts w:ascii="Times New Roman" w:hAnsi="Times New Roman" w:eastAsia="宋体"/>
                <w:b w:val="0"/>
                <w:sz w:val="17"/>
              </w:rPr>
              <w:t>基础数据</w:t>
            </w:r>
          </w:p>
        </w:tc>
        <w:tc>
          <w:tcPr>
            <w:tcW w:w="7257" w:type="dxa"/>
          </w:tcPr>
          <w:p w14:paraId="5FF4D53B">
            <w:pPr>
              <w:spacing w:before="10" w:after="10" w:line="216" w:lineRule="auto"/>
            </w:pPr>
            <w:r>
              <w:rPr>
                <w:rFonts w:ascii="Times New Roman" w:hAnsi="Times New Roman" w:eastAsia="宋体"/>
                <w:b w:val="0"/>
                <w:sz w:val="17"/>
              </w:rPr>
              <w:t>机构管理、人口基数管理、行政区划管理，机构编码全省统一</w:t>
            </w:r>
          </w:p>
        </w:tc>
      </w:tr>
      <w:tr w14:paraId="0ECD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290EBB5">
            <w:pPr>
              <w:spacing w:before="10" w:after="10" w:line="216" w:lineRule="auto"/>
            </w:pPr>
            <w:r>
              <w:rPr>
                <w:rFonts w:ascii="Times New Roman" w:hAnsi="Times New Roman" w:eastAsia="宋体"/>
                <w:b w:val="0"/>
                <w:sz w:val="17"/>
              </w:rPr>
              <w:t>字典管理</w:t>
            </w:r>
          </w:p>
        </w:tc>
        <w:tc>
          <w:tcPr>
            <w:tcW w:w="7257" w:type="dxa"/>
          </w:tcPr>
          <w:p w14:paraId="1D1DB9ED">
            <w:pPr>
              <w:spacing w:before="10" w:after="10" w:line="216" w:lineRule="auto"/>
            </w:pPr>
            <w:r>
              <w:rPr>
                <w:rFonts w:ascii="Times New Roman" w:hAnsi="Times New Roman" w:eastAsia="宋体"/>
                <w:b w:val="0"/>
                <w:sz w:val="17"/>
              </w:rPr>
              <w:t>常规字典、解剖部位、病理类型、逻辑字典、自定义条件</w:t>
            </w:r>
          </w:p>
        </w:tc>
      </w:tr>
      <w:tr w14:paraId="0FB7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8658851">
            <w:pPr>
              <w:spacing w:before="10" w:after="10" w:line="216" w:lineRule="auto"/>
            </w:pPr>
            <w:r>
              <w:rPr>
                <w:rFonts w:ascii="Times New Roman" w:hAnsi="Times New Roman" w:eastAsia="宋体"/>
                <w:b w:val="0"/>
                <w:sz w:val="17"/>
              </w:rPr>
              <w:t>查重参数配置</w:t>
            </w:r>
          </w:p>
        </w:tc>
        <w:tc>
          <w:tcPr>
            <w:tcW w:w="7257" w:type="dxa"/>
          </w:tcPr>
          <w:p w14:paraId="0B17E4F3">
            <w:pPr>
              <w:spacing w:before="10" w:after="10" w:line="216" w:lineRule="auto"/>
            </w:pPr>
            <w:r>
              <w:rPr>
                <w:rFonts w:ascii="Times New Roman" w:hAnsi="Times New Roman" w:eastAsia="宋体"/>
                <w:b w:val="0"/>
                <w:sz w:val="17"/>
              </w:rPr>
              <w:t>自动查重参数与合并字段参数配置</w:t>
            </w:r>
          </w:p>
        </w:tc>
      </w:tr>
      <w:tr w14:paraId="6E49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AC890D0">
            <w:pPr>
              <w:spacing w:before="10" w:after="10" w:line="216" w:lineRule="auto"/>
            </w:pPr>
            <w:r>
              <w:rPr>
                <w:rFonts w:ascii="Times New Roman" w:hAnsi="Times New Roman" w:eastAsia="宋体"/>
                <w:b w:val="0"/>
                <w:sz w:val="17"/>
              </w:rPr>
              <w:t>用户与权限</w:t>
            </w:r>
          </w:p>
        </w:tc>
        <w:tc>
          <w:tcPr>
            <w:tcW w:w="7257" w:type="dxa"/>
          </w:tcPr>
          <w:p w14:paraId="2E03B872">
            <w:pPr>
              <w:spacing w:before="10" w:after="10" w:line="216" w:lineRule="auto"/>
            </w:pPr>
            <w:r>
              <w:rPr>
                <w:rFonts w:ascii="Times New Roman" w:hAnsi="Times New Roman" w:eastAsia="宋体"/>
                <w:b w:val="0"/>
                <w:sz w:val="17"/>
              </w:rPr>
              <w:t>用户管理、在线用户、角色与权限管理、菜单栏管理；数据范围按行政区划自动限定</w:t>
            </w:r>
          </w:p>
        </w:tc>
      </w:tr>
      <w:tr w14:paraId="2956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83CD1CC">
            <w:pPr>
              <w:spacing w:before="10" w:after="10" w:line="216" w:lineRule="auto"/>
            </w:pPr>
            <w:r>
              <w:rPr>
                <w:rFonts w:ascii="Times New Roman" w:hAnsi="Times New Roman" w:eastAsia="宋体"/>
                <w:b w:val="0"/>
                <w:sz w:val="17"/>
              </w:rPr>
              <w:t>系统审计</w:t>
            </w:r>
          </w:p>
        </w:tc>
        <w:tc>
          <w:tcPr>
            <w:tcW w:w="7257" w:type="dxa"/>
          </w:tcPr>
          <w:p w14:paraId="1969AF8A">
            <w:pPr>
              <w:spacing w:before="10" w:after="10" w:line="216" w:lineRule="auto"/>
            </w:pPr>
            <w:r>
              <w:rPr>
                <w:rFonts w:ascii="Times New Roman" w:hAnsi="Times New Roman" w:eastAsia="宋体"/>
                <w:b w:val="0"/>
                <w:sz w:val="17"/>
              </w:rPr>
              <w:t>报卡记录日志、空间地址日志、随访记录日志、系统操作日志</w:t>
            </w:r>
          </w:p>
        </w:tc>
      </w:tr>
    </w:tbl>
    <w:p w14:paraId="295ADFC6">
      <w:pPr>
        <w:spacing w:before="140" w:after="80" w:line="300" w:lineRule="auto"/>
        <w:jc w:val="center"/>
      </w:pPr>
      <w:r>
        <w:rPr>
          <w:rFonts w:ascii="Times New Roman" w:hAnsi="Times New Roman" w:eastAsia="黑体"/>
          <w:b w:val="0"/>
          <w:sz w:val="26"/>
        </w:rPr>
        <w:t>三、当前进展与建设成效</w:t>
      </w:r>
    </w:p>
    <w:p w14:paraId="28A7AF59">
      <w:bookmarkStart w:id="0" w:name="_GoBack"/>
      <w:bookmarkEnd w:id="0"/>
    </w:p>
    <w:sectPr>
      <w:footerReference r:id="rId5" w:type="default"/>
      <w:pgSz w:w="11906" w:h="16838"/>
      <w:pgMar w:top="1020" w:right="1134" w:bottom="90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D0BAD">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B56F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54" w:lineRule="auto"/>
    </w:pPr>
    <w:rPr>
      <w:rFonts w:ascii="Times New Roman" w:hAnsi="Times New Roman" w:eastAsia="宋体"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3955</Words>
  <Characters>3998</Characters>
  <Lines>0</Lines>
  <Paragraphs>0</Paragraphs>
  <TotalTime>2</TotalTime>
  <ScaleCrop>false</ScaleCrop>
  <LinksUpToDate>false</LinksUpToDate>
  <CharactersWithSpaces>4025</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2026-10-16T02:15:37Z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eyJoZGlkIjoiMzAwZDRhNTk2MWE1NmU5NDMzYTZhYzA0MjI0MTg2YWIiLCJ1c2VySWQiOiI3MDY4MDg3NDMifQ==</vt:lpwstr>
  </property>
  <property fmtid="{D5CDD505-2E9C-101B-9397-08002B2CF9AE}" pid="3" name="KSOProductBuildVer">
    <vt:lpwstr>2052-12.1.0.28022</vt:lpwstr>
  </property>
  <property fmtid="{D5CDD505-2E9C-101B-9397-08002B2CF9AE}" pid="4" name="ICV">
    <vt:lpwstr>F8387BCC42804701A3E5777E1399E366_12</vt:lpwstr>
  </property>
</Properties>
</file>