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Cotización</w:t>
      </w:r>
    </w:p>
    <w:p>
      <w:pPr>
        <w:spacing w:after="240"/>
      </w:pPr>
      <w:r>
        <w:rPr>
          <w:b/>
          <w:bCs/>
          <w:sz w:val="28"/>
          <w:szCs w:val="28"/>
        </w:rPr>
        <w:t xml:space="preserve">Servicio de actualización de plataforma ONIGIES.</w:t>
      </w:r>
    </w:p>
    <w:p>
      <w:r>
        <w:rPr>
          <w:b/>
          <w:bCs/>
        </w:rPr>
        <w:t xml:space="preserve">Fecha:</w:t>
      </w:r>
      <w:r>
        <w:t xml:space="preserve"> Ciudad de México, 2 de octubre de 2026</w:t>
      </w:r>
    </w:p>
    <w:p>
      <w:r>
        <w:rPr>
          <w:b/>
          <w:bCs/>
        </w:rPr>
        <w:t xml:space="preserve">Núm. de folio:</w:t>
      </w:r>
      <w:r>
        <w:t xml:space="preserve"> ONIGIES-2026-01</w:t>
      </w:r>
    </w:p>
    <w:p>
      <w:pPr>
        <w:spacing w:before="240"/>
      </w:pPr>
      <w:r>
        <w:t xml:space="preserve">Rubén Hernández</w:t>
      </w:r>
      <w:r>
        <w:br/>
        <w:t xml:space="preserve">Dirección de Políticas de Igualdad y No Discriminación</w:t>
      </w:r>
      <w:r>
        <w:br/>
        <w:t xml:space="preserve">Coordinación para la Igualdad de Género de la UNAM</w:t>
      </w:r>
      <w:r>
        <w:br/>
        <w:t xml:space="preserve">Presente</w:t>
      </w:r>
    </w:p>
    <w:p>
      <w:pPr>
        <w:pStyle w:val="Heading2"/>
      </w:pPr>
      <w:r>
        <w:t xml:space="preserve">Datos de quien cotiza</w:t>
      </w:r>
    </w:p>
    <w:p>
      <w:r>
        <w:rPr>
          <w:b/>
          <w:bCs/>
        </w:rPr>
        <w:t xml:space="preserve">Denominación o razón social:</w:t>
      </w:r>
      <w:r>
        <w:t xml:space="preserve"> Ricardo Sanginés Contreras, persona física (Régimen Simplificado de Confianza)</w:t>
      </w:r>
    </w:p>
    <w:p>
      <w:r>
        <w:rPr>
          <w:b/>
          <w:bCs/>
        </w:rPr>
        <w:t xml:space="preserve">Nombre de quien cotiza:</w:t>
      </w:r>
      <w:r>
        <w:t xml:space="preserve"> Ricardo Sanginés Contreras</w:t>
      </w:r>
    </w:p>
    <w:p>
      <w:r>
        <w:rPr>
          <w:b/>
          <w:bCs/>
        </w:rPr>
        <w:t xml:space="preserve">Cargo de quien cotiza:</w:t>
      </w:r>
      <w:r>
        <w:t xml:space="preserve"> Consultor en desarrollo de plataformas</w:t>
      </w:r>
    </w:p>
    <w:p>
      <w:pPr>
        <w:pStyle w:val="Heading2"/>
      </w:pPr>
      <w:r>
        <w:t xml:space="preserve">Descripción del bien o servicio</w:t>
      </w:r>
    </w:p>
    <w:p>
      <w:r>
        <w:rPr>
          <w:b/>
          <w:bCs/>
        </w:rPr>
        <w:t xml:space="preserve">Concepto: </w:t>
      </w:r>
      <w:r>
        <w:t xml:space="preserve">Servicio de actualización de plataforma ONIGIES.</w:t>
      </w:r>
    </w:p>
    <w:p>
      <w:r>
        <w:t xml:space="preserve">El Observatorio Nacional para la Igualdad de Género en las Instituciones de Educación Superior (ONIGIES) renueva su plataforma para registrar, validar y dar a conocer los resultados de las instituciones de educación superior (IES) conforme a la nueva metodología. El servicio comprende los módulos y actividades siguientes, calendarizados en el cronograma anexo:</w:t>
      </w:r>
    </w:p>
    <w:p>
      <w:pPr>
        <w:pStyle w:val="Heading3"/>
      </w:pPr>
      <w:r>
        <w:t xml:space="preserve">Diseño de nueva identidad gráfica del sitio web</w:t>
      </w:r>
    </w:p>
    <w:p>
      <w:r>
        <w:t xml:space="preserve">El sitio web tendrá un nuevo diseño para presentar la información y para contar de mejor manera la narrativa del objetivo, la metodología y los resultados.</w:t>
      </w:r>
    </w:p>
    <w:p>
      <w:pPr>
        <w:pStyle w:val="Heading3"/>
      </w:pPr>
      <w:r>
        <w:t xml:space="preserve">Configuración base de vistas web de sitio público</w:t>
      </w:r>
    </w:p>
    <w:p>
      <w:r>
        <w:t xml:space="preserve">Vista inicio: resumen de los derechos, explicación metodológica, vista histórica y descarga de datos concentrados.</w:t>
      </w:r>
    </w:p>
    <w:p>
      <w:r>
        <w:t xml:space="preserve">Vista por IES: cada una de las IES con datos aprobados tendrá una página donde se mostrarán los resultados del último año, así como un resumen del avance histórico. Además, se podrán descargar los datos de origen.</w:t>
      </w:r>
    </w:p>
    <w:p>
      <w:pPr>
        <w:pStyle w:val="Heading3"/>
      </w:pPr>
      <w:r>
        <w:t xml:space="preserve">Interactividad web y fichas intermedias</w:t>
      </w:r>
    </w:p>
    <w:p>
      <w:r>
        <w:t xml:space="preserve">Se intentará agregarle mayor interactividad y animaciones a las visualizaciones, para hacerlas visualmente atractivas y llamativas. La interactividad (ya sea por medio del mouse o con clics) incluirá fichas o tarjetas preliminares de resumen que permitan a las personas usuarias permanecer en la misma vista.</w:t>
      </w:r>
    </w:p>
    <w:p>
      <w:pPr>
        <w:pStyle w:val="Heading3"/>
      </w:pPr>
      <w:r>
        <w:t xml:space="preserve">Modificación de versión 1 para compatibilidad</w:t>
      </w:r>
    </w:p>
    <w:p>
      <w:r>
        <w:t xml:space="preserve">La versión anterior se modificará para que siga accesible en un subdominio o una ruta URL específica, que distinga la versión previa de la nueva.</w:t>
      </w:r>
    </w:p>
    <w:p>
      <w:pPr>
        <w:pStyle w:val="Heading3"/>
      </w:pPr>
      <w:r>
        <w:t xml:space="preserve">Exportaciones a Excel</w:t>
      </w:r>
    </w:p>
    <w:p>
      <w:r>
        <w:t xml:space="preserve">Las IES podrán descargar su información en cualquier momento del registro, mientras que el público general podrá descargarla una vez que haya sido aprobada.</w:t>
      </w:r>
    </w:p>
    <w:p>
      <w:pPr>
        <w:pStyle w:val="Heading3"/>
      </w:pPr>
      <w:r>
        <w:t xml:space="preserve">Cálculo de indicadores y ponderaciones</w:t>
      </w:r>
    </w:p>
    <w:p>
      <w:r>
        <w:t xml:space="preserve">La plataforma calculará los niveles de avance de los observables y sus ponderaciones, conforme a la nueva metodología.</w:t>
      </w:r>
    </w:p>
    <w:p>
      <w:pPr>
        <w:pStyle w:val="Heading3"/>
      </w:pPr>
      <w:r>
        <w:t xml:space="preserve">Diseño de visualizaciones de población</w:t>
      </w:r>
    </w:p>
    <w:p>
      <w:r>
        <w:t xml:space="preserve">Se desarrollarán visualizaciones específicas para mostrar las diferencias de sexo-género de las poblaciones de los sectores y subsectores.</w:t>
      </w:r>
    </w:p>
    <w:p>
      <w:pPr>
        <w:pStyle w:val="Heading2"/>
      </w:pPr>
      <w:r>
        <w:t xml:space="preserve">Costos y condiciones</w:t>
      </w:r>
    </w:p>
    <w:p>
      <w:r>
        <w:rPr>
          <w:b/>
          <w:bCs/>
        </w:rPr>
        <w:t xml:space="preserve">Costo antes de IVA:</w:t>
      </w:r>
      <w:r>
        <w:t xml:space="preserve"> $80,000.00 MXN</w:t>
      </w:r>
    </w:p>
    <w:p>
      <w:r>
        <w:rPr>
          <w:b/>
          <w:bCs/>
        </w:rPr>
        <w:t xml:space="preserve">Costo después de IVA:</w:t>
      </w:r>
      <w:r>
        <w:t xml:space="preserve"> $92,800.00 MXN</w:t>
      </w:r>
    </w:p>
    <w:p>
      <w:r>
        <w:rPr>
          <w:b/>
          <w:bCs/>
        </w:rPr>
        <w:t xml:space="preserve">Tipo de moneda:</w:t>
      </w:r>
      <w:r>
        <w:t xml:space="preserve"> pesos mexicanos (MXN)</w:t>
      </w:r>
    </w:p>
    <w:p>
      <w:r>
        <w:rPr>
          <w:b/>
          <w:bCs/>
        </w:rPr>
        <w:t xml:space="preserve">Tiempo de entrega:</w:t>
      </w:r>
      <w:r>
        <w:t xml:space="preserve"> del 1 de octubre al 31 de diciembre de 2026, conforme al cronograma anexo.</w:t>
      </w:r>
    </w:p>
    <w:p>
      <w:r>
        <w:rPr>
          <w:b/>
          <w:bCs/>
        </w:rPr>
        <w:t xml:space="preserve">Lugar de entrega:</w:t>
      </w:r>
      <w:r>
        <w:t xml:space="preserve"> en línea, en la plataforma onigies.unam.mx y en la infraestructura que indique la CIGU.</w:t>
      </w:r>
    </w:p>
    <w:p>
      <w:r>
        <w:rPr>
          <w:b/>
          <w:bCs/>
        </w:rPr>
        <w:t xml:space="preserve">Vigencia:</w:t>
      </w:r>
      <w:r>
        <w:t xml:space="preserve"> 30 días naturales a partir de la fecha de la presente cotización.</w:t>
      </w:r>
    </w:p>
    <w:p>
      <w:r>
        <w:rPr>
          <w:b/>
          <w:bCs/>
        </w:rPr>
        <w:t xml:space="preserve">Garantías:</w:t>
      </w:r>
      <w:r>
        <w:t xml:space="preserve"> corrección sin costo de los defectos de lo entregado, durante los tres meses posteriores a la última entrega.</w:t>
      </w:r>
    </w:p>
    <w:p>
      <w:pPr>
        <w:keepNext/>
        <w:spacing w:before="360"/>
      </w:pPr>
      <w:r>
        <w:rPr>
          <w:b/>
          <w:bCs/>
        </w:rPr>
        <w:t xml:space="preserve">Firma de quien cotiza</w:t>
      </w:r>
    </w:p>
    <w:p>
      <w:pPr>
        <w:keepNext/>
        <w:spacing w:after="60" w:before="1200"/>
      </w:pPr>
      <w:r>
        <w:t xml:space="preserve">______________________________</w:t>
      </w:r>
    </w:p>
    <w:p>
      <w:pPr>
        <w:keepNext/>
        <w:spacing w:after="0"/>
      </w:pPr>
      <w:r>
        <w:t xml:space="preserve">Ricardo Sanginés Contreras</w:t>
      </w:r>
    </w:p>
    <w:p>
      <w:r>
        <w:t xml:space="preserve">Consultor en desarrollo de plataformas</w:t>
      </w:r>
    </w:p>
    <w:p>
      <w:pPr>
        <w:sectPr>
          <w:pgSz w:w="12240" w:h="15840" w:orient="portrait"/>
          <w:pgMar w:top="1440" w:right="1440" w:bottom="1440" w:left="1440" w:header="708" w:footer="708" w:gutter="0"/>
          <w:pgNumType/>
          <w:docGrid w:linePitch="360"/>
        </w:sectPr>
      </w:pPr>
    </w:p>
    <w:p>
      <w:pPr>
        <w:pStyle w:val="Heading2"/>
      </w:pPr>
      <w:r>
        <w:t xml:space="preserve">Anexo. Cronograma de actividades, octubre a diciembre de 2026</w:t>
      </w:r>
    </w:p>
    <w:p>
      <w:r>
        <w:t xml:space="preserve">Módulos y actividades en el orden del cuadro de conceptos entregado a la Titular; semanas de trabajo sombreadas. La entrega final está prevista para la segunda semana de diciembre.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325"/>
        <w:gridCol w:w="785"/>
        <w:gridCol w:w="785"/>
        <w:gridCol w:w="785"/>
        <w:gridCol w:w="785"/>
        <w:gridCol w:w="785"/>
        <w:gridCol w:w="785"/>
        <w:gridCol w:w="785"/>
        <w:gridCol w:w="785"/>
        <w:gridCol w:w="785"/>
        <w:gridCol w:w="785"/>
        <w:gridCol w:w="785"/>
      </w:tblGrid>
      <w:tr>
        <w:trPr>
          <w:tblHeader/>
        </w:trPr>
        <w:tc>
          <w:tcPr>
            <w:tcW w:type="dxa" w:w="4325"/>
            <w:vMerge w:val="restart"/>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pPr>
            <w:r>
              <w:rPr>
                <w:b/>
                <w:bCs/>
              </w:rPr>
              <w:t xml:space="preserve">Actividad</w:t>
            </w:r>
          </w:p>
        </w:tc>
        <w:tc>
          <w:tcPr>
            <w:tcW w:type="dxa" w:w="3925"/>
            <w:gridSpan w:val="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rPr>
              <w:t xml:space="preserve">Octubre</w:t>
            </w:r>
          </w:p>
        </w:tc>
        <w:tc>
          <w:tcPr>
            <w:tcW w:type="dxa" w:w="3140"/>
            <w:gridSpan w:val="4"/>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rPr>
              <w:t xml:space="preserve">Noviembre</w:t>
            </w:r>
          </w:p>
        </w:tc>
        <w:tc>
          <w:tcPr>
            <w:tcW w:type="dxa" w:w="1570"/>
            <w:gridSpan w:val="2"/>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rPr>
              <w:t xml:space="preserve">Diciembre</w:t>
            </w:r>
          </w:p>
        </w:tc>
      </w:tr>
      <w:tr>
        <w:trPr>
          <w:tblHeader/>
        </w:trPr>
        <w:tc>
          <w:tcPr>
            <w:vMerge w:val="continue"/>
            <w:tcBorders>
              <w:top w:val="single" w:color="A6A6A6" w:sz="4"/>
              <w:left w:val="single" w:color="A6A6A6" w:sz="4"/>
              <w:bottom w:val="single" w:color="A6A6A6" w:sz="4"/>
              <w:right w:val="single" w:color="A6A6A6" w:sz="4"/>
            </w:tcBorders>
          </w:tcPr>
          <w:p/>
        </w:tc>
        <w:tc>
          <w:tcPr>
            <w:tcW w:type="dxa" w:w="78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sz w:val="18"/>
                <w:szCs w:val="18"/>
              </w:rPr>
              <w:t xml:space="preserve">Sem. 1</w:t>
            </w:r>
          </w:p>
        </w:tc>
        <w:tc>
          <w:tcPr>
            <w:tcW w:type="dxa" w:w="78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sz w:val="18"/>
                <w:szCs w:val="18"/>
              </w:rPr>
              <w:t xml:space="preserve">Sem. 2</w:t>
            </w:r>
          </w:p>
        </w:tc>
        <w:tc>
          <w:tcPr>
            <w:tcW w:type="dxa" w:w="78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sz w:val="18"/>
                <w:szCs w:val="18"/>
              </w:rPr>
              <w:t xml:space="preserve">Sem. 3</w:t>
            </w:r>
          </w:p>
        </w:tc>
        <w:tc>
          <w:tcPr>
            <w:tcW w:type="dxa" w:w="78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sz w:val="18"/>
                <w:szCs w:val="18"/>
              </w:rPr>
              <w:t xml:space="preserve">Sem. 4</w:t>
            </w:r>
          </w:p>
        </w:tc>
        <w:tc>
          <w:tcPr>
            <w:tcW w:type="dxa" w:w="78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sz w:val="18"/>
                <w:szCs w:val="18"/>
              </w:rPr>
              <w:t xml:space="preserve">Sem. 5</w:t>
            </w:r>
          </w:p>
        </w:tc>
        <w:tc>
          <w:tcPr>
            <w:tcW w:type="dxa" w:w="78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sz w:val="18"/>
                <w:szCs w:val="18"/>
              </w:rPr>
              <w:t xml:space="preserve">Sem. 1</w:t>
            </w:r>
          </w:p>
        </w:tc>
        <w:tc>
          <w:tcPr>
            <w:tcW w:type="dxa" w:w="78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sz w:val="18"/>
                <w:szCs w:val="18"/>
              </w:rPr>
              <w:t xml:space="preserve">Sem. 2</w:t>
            </w:r>
          </w:p>
        </w:tc>
        <w:tc>
          <w:tcPr>
            <w:tcW w:type="dxa" w:w="78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sz w:val="18"/>
                <w:szCs w:val="18"/>
              </w:rPr>
              <w:t xml:space="preserve">Sem. 3</w:t>
            </w:r>
          </w:p>
        </w:tc>
        <w:tc>
          <w:tcPr>
            <w:tcW w:type="dxa" w:w="78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sz w:val="18"/>
                <w:szCs w:val="18"/>
              </w:rPr>
              <w:t xml:space="preserve">Sem. 4</w:t>
            </w:r>
          </w:p>
        </w:tc>
        <w:tc>
          <w:tcPr>
            <w:tcW w:type="dxa" w:w="78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sz w:val="18"/>
                <w:szCs w:val="18"/>
              </w:rPr>
              <w:t xml:space="preserve">Sem. 1</w:t>
            </w:r>
          </w:p>
        </w:tc>
        <w:tc>
          <w:tcPr>
            <w:tcW w:type="dxa" w:w="785"/>
            <w:tcBorders>
              <w:top w:val="single" w:color="A6A6A6" w:sz="4"/>
              <w:left w:val="single" w:color="A6A6A6" w:sz="4"/>
              <w:bottom w:val="single" w:color="A6A6A6" w:sz="4"/>
              <w:right w:val="single" w:color="A6A6A6" w:sz="4"/>
            </w:tcBorders>
            <w:shd w:fill="D9D9D9" w:color="auto" w:val="clear"/>
            <w:tcMar>
              <w:top w:type="dxa" w:w="30"/>
              <w:left w:type="dxa" w:w="100"/>
              <w:bottom w:type="dxa" w:w="30"/>
              <w:right w:type="dxa" w:w="100"/>
            </w:tcMar>
            <w:vAlign w:val="center"/>
          </w:tcPr>
          <w:p>
            <w:pPr>
              <w:spacing w:after="0" w:before="0" w:line="240"/>
              <w:jc w:val="center"/>
            </w:pPr>
            <w:r>
              <w:rPr>
                <w:b/>
                <w:bCs/>
                <w:sz w:val="18"/>
                <w:szCs w:val="18"/>
              </w:rPr>
              <w:t xml:space="preserve">Sem. 2</w:t>
            </w:r>
          </w:p>
        </w:tc>
      </w:tr>
      <w:tr>
        <w:tc>
          <w:tcPr>
            <w:tcW w:type="dxa" w:w="432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r>
              <w:rPr>
                <w:b/>
                <w:bCs/>
              </w:rPr>
              <w:t xml:space="preserve">Plataforma pública</w:t>
            </w: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r>
      <w:tr>
        <w:tc>
          <w:tcPr>
            <w:tcW w:type="dxa" w:w="432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r>
              <w:t xml:space="preserve">Diseño de nueva identidad gráfica del sitio web</w:t>
            </w: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r>
      <w:tr>
        <w:tc>
          <w:tcPr>
            <w:tcW w:type="dxa" w:w="432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r>
              <w:t xml:space="preserve">Configuración base de vistas web de sitio público</w:t>
            </w: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r>
      <w:tr>
        <w:tc>
          <w:tcPr>
            <w:tcW w:type="dxa" w:w="432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r>
              <w:t xml:space="preserve">Interactividad web y fichas intermedias</w:t>
            </w: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r>
      <w:tr>
        <w:tc>
          <w:tcPr>
            <w:tcW w:type="dxa" w:w="432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r>
              <w:t xml:space="preserve">Modificación de versión 1 para compatibilidad</w:t>
            </w: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r>
      <w:tr>
        <w:tc>
          <w:tcPr>
            <w:tcW w:type="dxa" w:w="432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r>
              <w:rPr>
                <w:b/>
                <w:bCs/>
              </w:rPr>
              <w:t xml:space="preserve">Base de datos</w:t>
            </w: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r>
      <w:tr>
        <w:tc>
          <w:tcPr>
            <w:tcW w:type="dxa" w:w="432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r>
              <w:t xml:space="preserve">Exportaciones a Excel</w:t>
            </w: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r>
      <w:tr>
        <w:tc>
          <w:tcPr>
            <w:tcW w:type="dxa" w:w="432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r>
              <w:t xml:space="preserve">Cálculo de indicadores y ponderaciones</w:t>
            </w: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r>
      <w:tr>
        <w:tc>
          <w:tcPr>
            <w:tcW w:type="dxa" w:w="432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r>
              <w:rPr>
                <w:b/>
                <w:bCs/>
              </w:rPr>
              <w:t xml:space="preserve">Diseño de visualizaciones de población</w:t>
            </w: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F2F2F2" w:color="auto" w:val="clear"/>
            <w:tcMar>
              <w:top w:type="dxa" w:w="30"/>
              <w:left w:type="dxa" w:w="100"/>
              <w:bottom w:type="dxa" w:w="30"/>
              <w:right w:type="dxa" w:w="100"/>
            </w:tcMar>
            <w:vAlign w:val="center"/>
          </w:tcPr>
          <w:p>
            <w:pPr>
              <w:spacing w:after="0" w:before="0" w:line="240"/>
            </w:pPr>
          </w:p>
        </w:tc>
      </w:tr>
      <w:tr>
        <w:tc>
          <w:tcPr>
            <w:tcW w:type="dxa" w:w="432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r>
              <w:t xml:space="preserve">Diseño de visualizaciones de población</w:t>
            </w: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c>
          <w:tcPr>
            <w:tcW w:type="dxa" w:w="785"/>
            <w:tcBorders>
              <w:top w:val="single" w:color="A6A6A6" w:sz="4"/>
              <w:left w:val="single" w:color="A6A6A6" w:sz="4"/>
              <w:bottom w:val="single" w:color="A6A6A6" w:sz="4"/>
              <w:right w:val="single" w:color="A6A6A6" w:sz="4"/>
            </w:tcBorders>
            <w:shd w:fill="808080" w:color="auto" w:val="clear"/>
            <w:tcMar>
              <w:top w:type="dxa" w:w="30"/>
              <w:left w:type="dxa" w:w="100"/>
              <w:bottom w:type="dxa" w:w="30"/>
              <w:right w:type="dxa" w:w="100"/>
            </w:tcMar>
            <w:vAlign w:val="center"/>
          </w:tcPr>
          <w:p>
            <w:pPr>
              <w:spacing w:after="0" w:before="0" w:line="240"/>
            </w:pPr>
          </w:p>
        </w:tc>
      </w:tr>
    </w:tbl>
    <w:sectPr>
      <w:pgSz w:w="15840" w:h="12240" w:orient="landscape"/>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1F1F"/>
      <w:sz w:val="40"/>
      <w:szCs w:val="40"/>
    </w:rPr>
  </w:style>
  <w:style w:type="paragraph" w:styleId="Heading2">
    <w:name w:val="Heading 2"/>
    <w:basedOn w:val="Normal"/>
    <w:next w:val="Normal"/>
    <w:qFormat/>
    <w:pPr>
      <w:keepNext/>
      <w:pBdr>
        <w:bottom w:val="single" w:color="BFBFBF" w:sz="4" w:space="2"/>
      </w:pBdr>
      <w:spacing w:after="120" w:before="36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60" w:before="240"/>
      <w:outlineLvl w:val="2"/>
    </w:pPr>
    <w:rPr>
      <w:rFonts w:ascii="Calibri" w:cs="Calibri" w:eastAsia="Calibri" w:hAnsi="Calibri"/>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2026-10-02T19:53:30.605Z</dcterms:created>
  <dcterms:modified xsi:type="dcterms:W3CDTF">2026-10-02T19:53:30.605Z</dcterms:modified>
</cp:coreProperties>
</file>

<file path=docProps/custom.xml><?xml version="1.0" encoding="utf-8"?>
<Properties xmlns="http://schemas.openxmlformats.org/officeDocument/2006/custom-properties" xmlns:vt="http://schemas.openxmlformats.org/officeDocument/2006/docPropsVTypes"/>
</file>