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Malaysian Company Secretarial Software</w:t>
      </w:r>
    </w:p>
    <w:p>
      <w:pPr>
        <w:pStyle w:val="Subtitle"/>
      </w:pPr>
      <w:r>
        <w:t>Internal product requirements and user workflows</w:t>
      </w:r>
    </w:p>
    <w:p>
      <w:r>
        <w:t>Revision 2   |   21 October 2026   |   Initial portfolio of 10 to 20 companies</w:t>
      </w:r>
    </w:p>
    <w:p>
      <w:pPr>
        <w:pStyle w:val="Heading2"/>
      </w:pPr>
      <w:r>
        <w:t>Product description</w:t>
      </w:r>
    </w:p>
    <w:p>
      <w:r>
        <w:t>CoSec Workspace is an internal application for a Malaysian company secretarial managed services team. It maintains company records and statutory documents, guides staff through corporate events and recurring obligations, generates documents from approved templates, and records reviews, signatures, submissions and follow up. Each job connects the client instruction or statutory trigger to the resulting documents, record changes and evidence of completion. Managers can see what is due, who owns the work, what is blocked and which completed services are ready for billing.</w:t>
      </w:r>
    </w:p>
    <w:p>
      <w:pPr>
        <w:pStyle w:val="Heading2"/>
      </w:pPr>
      <w:r>
        <w:t>Purpose and coverage</w:t>
      </w:r>
    </w:p>
    <w:p>
      <w:r>
        <w:t>The product must support the complete operating cycle for the team’s Malaysian private companies limited by shares, from incorporation or takeover to ongoing administration and eventual handover or closure. The activity catalogue and workflows below define the required business behaviour. A practising company secretary validates applicability, document packs and rules before live use. Public companies, LLPs, foreign branches and regulated sector obligations require a separate scope assessment.</w:t>
      </w:r>
    </w:p>
    <w:p>
      <w:r>
        <w:t>All users are internal staff. Clients, directors, members, auditors, banks and regulators interact through existing external channels. Staff record their instructions, approvals, signatures and responses in the application. There are no external accounts, client portal or public self service functions. AI functionality, AI vendor research and architecture are outside this document.</w:t>
      </w:r>
    </w:p>
    <w:p>
      <w:pPr>
        <w:pStyle w:val="Heading2"/>
      </w:pPr>
      <w:r>
        <w:t>Internal roles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Role</w:t>
            </w:r>
          </w:p>
        </w:tc>
        <w:tc>
          <w:tcPr>
            <w:tcW w:type="dxa" w:w="7704"/>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Responsibility</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Executive</w:t>
            </w:r>
          </w:p>
        </w:tc>
        <w:tc>
          <w:tcPr>
            <w:tcW w:type="dxa" w:w="770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Create and prepare jobs, maintain draft records, prepare documents, log correspondence and capture evidence.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Reviewer or practising secretary</w:t>
            </w:r>
          </w:p>
        </w:tc>
        <w:tc>
          <w:tcPr>
            <w:tcW w:type="dxa" w:w="7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Validate legal route and applicability, approve documents and record changes, authorise filing readiness and resolve exceptions.</w:t>
            </w:r>
          </w:p>
        </w:tc>
      </w:tr>
      <w:tr>
        <w:trPr>
          <w:cantSplit/>
        </w:trPr>
        <w:tc>
          <w:tcPr>
            <w:tcW w:type="dxa" w:w="237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Authorised lodger</w:t>
            </w:r>
          </w:p>
        </w:tc>
        <w:tc>
          <w:tcPr>
            <w:tcW w:type="dxa" w:w="770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Complete filings through the applicable external channel; record reference, outcome, payment and evidence. This may be the reviewer.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Manager and administrator</w:t>
            </w:r>
          </w:p>
        </w:tc>
        <w:tc>
          <w:tcPr>
            <w:tcW w:type="dxa" w:w="77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Allocate work, manage access and approved templates, oversee deadlines and billing handoff. Restricted compliance access is assigned separately.</w:t>
            </w:r>
          </w:p>
        </w:tc>
      </w:tr>
    </w:tbl>
    <w:p/>
    <w:p>
      <w:r>
        <w:t>A small team may combine roles. The system must still identify who prepared, approved and lodged each item; any permitted self approval is visible and governed by the firm’s policy.</w:t>
      </w:r>
    </w:p>
    <w:p>
      <w:r>
        <w:br w:type="page"/>
      </w:r>
    </w:p>
    <w:p>
      <w:pPr>
        <w:pStyle w:val="Heading1"/>
      </w:pPr>
      <w:r>
        <w:t>Activity catalogue and functional coverage</w:t>
      </w:r>
    </w:p>
    <w:p>
      <w:r>
        <w:t>Every row is part of the internal product scope. Routine activities need guided workflows. Specialist matters use a controlled case with a reviewer approved checklist, milestones, documents and record consequences. Tracking an external professional’s work does not mean the application performs that professional service.</w:t>
      </w:r>
    </w:p>
    <w:tbl>
      <w:tblPr>
        <w:tblW w:type="auto" w:w="0"/>
        <w:jc w:val="center"/>
        <w:tblLayout w:type="fixed"/>
        <w:tblLook w:firstColumn="1" w:firstRow="1" w:lastColumn="0" w:lastRow="0" w:noHBand="0" w:noVBand="1" w:val="04A0"/>
      </w:tblPr>
      <w:tblGrid>
        <w:gridCol w:w="691"/>
        <w:gridCol w:w="3269"/>
        <w:gridCol w:w="6120"/>
      </w:tblGrid>
      <w:tr>
        <w:trPr>
          <w:cantSplit/>
          <w:tblHeader/>
        </w:trPr>
        <w:tc>
          <w:tcPr>
            <w:tcW w:type="dxa" w:w="691"/>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ID</w:t>
            </w:r>
          </w:p>
        </w:tc>
        <w:tc>
          <w:tcPr>
            <w:tcW w:type="dxa" w:w="3269"/>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Activity</w:t>
            </w:r>
          </w:p>
        </w:tc>
        <w:tc>
          <w:tcPr>
            <w:tcW w:type="dxa" w:w="6120"/>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Required result</w:t>
            </w:r>
          </w:p>
        </w:tc>
      </w:tr>
      <w:tr>
        <w:trPr>
          <w:cantSplit/>
        </w:trPr>
        <w:tc>
          <w:tcPr>
            <w:tcW w:type="dxa" w:w="6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W01</w:t>
            </w:r>
          </w:p>
        </w:tc>
        <w:tc>
          <w:tcPr>
            <w:tcW w:type="dxa" w:w="326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Client acceptance and takeover</w:t>
            </w:r>
          </w:p>
        </w:tc>
        <w:tc>
          <w:tcPr>
            <w:tcW w:type="dxa" w:w="612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Approved engagement, due diligence decision, verified opening records and inherited obligations.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W02</w:t>
            </w:r>
          </w:p>
        </w:tc>
        <w:tc>
          <w:tcPr>
            <w:tcW w:type="dxa" w:w="32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Incorporation and initial setup</w:t>
            </w:r>
          </w:p>
        </w:tc>
        <w:tc>
          <w:tcPr>
            <w:tcW w:type="dxa" w:w="61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Registration case, initial appointments and registers, opening documents and recurring obligations.</w:t>
            </w:r>
          </w:p>
        </w:tc>
      </w:tr>
      <w:tr>
        <w:trPr>
          <w:cantSplit/>
        </w:trPr>
        <w:tc>
          <w:tcPr>
            <w:tcW w:type="dxa" w:w="6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W03</w:t>
            </w:r>
          </w:p>
        </w:tc>
        <w:tc>
          <w:tcPr>
            <w:tcW w:type="dxa" w:w="326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Annual return</w:t>
            </w:r>
          </w:p>
        </w:tc>
        <w:tc>
          <w:tcPr>
            <w:tcW w:type="dxa" w:w="612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Anniversary snapshot, review and BO annexure checks, submission evidence and yearly history.</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W04</w:t>
            </w:r>
          </w:p>
        </w:tc>
        <w:tc>
          <w:tcPr>
            <w:tcW w:type="dxa" w:w="32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Officers and company particulars</w:t>
            </w:r>
          </w:p>
        </w:tc>
        <w:tc>
          <w:tcPr>
            <w:tcW w:type="dxa" w:w="61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Appointments, cessations and removals; person particulars; registered office, business address and activity changes.</w:t>
            </w:r>
          </w:p>
        </w:tc>
      </w:tr>
      <w:tr>
        <w:trPr>
          <w:cantSplit/>
        </w:trPr>
        <w:tc>
          <w:tcPr>
            <w:tcW w:type="dxa" w:w="6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W05</w:t>
            </w:r>
          </w:p>
        </w:tc>
        <w:tc>
          <w:tcPr>
            <w:tcW w:type="dxa" w:w="326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Members and share capital</w:t>
            </w:r>
          </w:p>
        </w:tc>
        <w:tc>
          <w:tcPr>
            <w:tcW w:type="dxa" w:w="612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Transfers, allotments, transmissions and approved capital events; reconciled holdings and certificates.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W06</w:t>
            </w:r>
          </w:p>
        </w:tc>
        <w:tc>
          <w:tcPr>
            <w:tcW w:type="dxa" w:w="32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Beneficial ownership</w:t>
            </w:r>
          </w:p>
        </w:tc>
        <w:tc>
          <w:tcPr>
            <w:tcW w:type="dxa" w:w="61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Notices, replies, assessment, register entries, e-BOS tasks, verification and discrepancies.</w:t>
            </w:r>
          </w:p>
        </w:tc>
      </w:tr>
      <w:tr>
        <w:trPr>
          <w:cantSplit/>
        </w:trPr>
        <w:tc>
          <w:tcPr>
            <w:tcW w:type="dxa" w:w="6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W07</w:t>
            </w:r>
          </w:p>
        </w:tc>
        <w:tc>
          <w:tcPr>
            <w:tcW w:type="dxa" w:w="326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Meetings and resolutions</w:t>
            </w:r>
          </w:p>
        </w:tc>
        <w:tc>
          <w:tcPr>
            <w:tcW w:type="dxa" w:w="612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Board and member decisions, notices, attendance, voting, minutes, signatures and action follow up.</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W08</w:t>
            </w:r>
          </w:p>
        </w:tc>
        <w:tc>
          <w:tcPr>
            <w:tcW w:type="dxa" w:w="32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Financial statements and audit coordination</w:t>
            </w:r>
          </w:p>
        </w:tc>
        <w:tc>
          <w:tcPr>
            <w:tcW w:type="dxa" w:w="61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Financial period jobs, audit status, signed reports, circulation, lodgement and extension cases.</w:t>
            </w:r>
          </w:p>
        </w:tc>
      </w:tr>
      <w:tr>
        <w:trPr>
          <w:cantSplit/>
        </w:trPr>
        <w:tc>
          <w:tcPr>
            <w:tcW w:type="dxa" w:w="6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W09</w:t>
            </w:r>
          </w:p>
        </w:tc>
        <w:tc>
          <w:tcPr>
            <w:tcW w:type="dxa" w:w="326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Other corporate events</w:t>
            </w:r>
          </w:p>
        </w:tc>
        <w:tc>
          <w:tcPr>
            <w:tcW w:type="dxa" w:w="612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Name and constitution changes, charges, bank mandates, dividends and specialist corporate actions.</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W10</w:t>
            </w:r>
          </w:p>
        </w:tc>
        <w:tc>
          <w:tcPr>
            <w:tcW w:type="dxa" w:w="32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Service exit and company cessation</w:t>
            </w:r>
          </w:p>
        </w:tc>
        <w:tc>
          <w:tcPr>
            <w:tcW w:type="dxa" w:w="61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Handover or secretary cessation; strike off and specialist wind up cases; retained history.</w:t>
            </w:r>
          </w:p>
        </w:tc>
      </w:tr>
      <w:tr>
        <w:trPr>
          <w:cantSplit/>
        </w:trPr>
        <w:tc>
          <w:tcPr>
            <w:tcW w:type="dxa" w:w="6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W11</w:t>
            </w:r>
          </w:p>
        </w:tc>
        <w:tc>
          <w:tcPr>
            <w:tcW w:type="dxa" w:w="326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Registers and document custody</w:t>
            </w:r>
          </w:p>
        </w:tc>
        <w:tc>
          <w:tcPr>
            <w:tcW w:type="dxa" w:w="612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Current and historical registers, minute books, certified copies, inspections, originals and mail custody.</w:t>
            </w:r>
          </w:p>
        </w:tc>
      </w:tr>
      <w:tr>
        <w:trPr>
          <w:cantSplit/>
        </w:trPr>
        <w:tc>
          <w:tcPr>
            <w:tcW w:type="dxa" w:w="6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W12</w:t>
            </w:r>
          </w:p>
        </w:tc>
        <w:tc>
          <w:tcPr>
            <w:tcW w:type="dxa" w:w="326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Firm compliance and service operations</w:t>
            </w:r>
          </w:p>
        </w:tc>
        <w:tc>
          <w:tcPr>
            <w:tcW w:type="dxa" w:w="61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Due diligence reviews, restricted escalations, staff credentials, work allocation, fees and reporting.</w:t>
            </w:r>
          </w:p>
        </w:tc>
      </w:tr>
    </w:tbl>
    <w:p/>
    <w:p>
      <w:pPr>
        <w:pStyle w:val="Heading2"/>
      </w:pPr>
      <w:r>
        <w:t>Standard support for every job</w:t>
      </w:r>
    </w:p>
    <w:p>
      <w:r>
        <w:t>Each job has a company, activity type, trigger, scope, owner, reviewer, dates, checklist, dependencies, required document pack, correspondence log, filing tasks, record changes and completion criteria. Staff can create a bespoke activity using the same controls when an unusual matter arises. The activity cannot be marked complete simply because a document was generated.</w:t>
      </w:r>
    </w:p>
    <w:p>
      <w:r>
        <w:t>The breadth of this catalogue follows the private company lifecycle reflected in SSM’s company secretarial practice curriculum and document framework [1, 2]. Service responsibility remains distinct from the legal responsibilities of the company, directors and other parties.</w:t>
      </w:r>
    </w:p>
    <w:p>
      <w:r>
        <w:br w:type="page"/>
      </w:r>
    </w:p>
    <w:p>
      <w:pPr>
        <w:pStyle w:val="Heading1"/>
      </w:pPr>
      <w:r>
        <w:t>Shared workflow and record behaviour</w:t>
      </w:r>
    </w:p>
    <w:p>
      <w:r>
        <w:t>The diagram shows the common internal work cycle. Individual activities may create several documents, signatures or filings. The reviewer selects which steps apply and records a reason for any permitted step marked not applicable.</w:t>
      </w:r>
    </w:p>
    <w:p>
      <w:r>
        <w:drawing>
          <wp:inline xmlns:a="http://schemas.openxmlformats.org/drawingml/2006/main" xmlns:pic="http://schemas.openxmlformats.org/drawingml/2006/picture">
            <wp:extent cx="6400800" cy="2702560"/>
            <wp:docPr id="1" name="Picture 1"/>
            <wp:cNvGraphicFramePr>
              <a:graphicFrameLocks noChangeAspect="1"/>
            </wp:cNvGraphicFramePr>
            <a:graphic>
              <a:graphicData uri="http://schemas.openxmlformats.org/drawingml/2006/picture">
                <pic:pic>
                  <pic:nvPicPr>
                    <pic:cNvPr id="0" name="internal_workflow.png"/>
                    <pic:cNvPicPr/>
                  </pic:nvPicPr>
                  <pic:blipFill>
                    <a:blip r:embed="rId10"/>
                    <a:stretch>
                      <a:fillRect/>
                    </a:stretch>
                  </pic:blipFill>
                  <pic:spPr>
                    <a:xfrm>
                      <a:off x="0" y="0"/>
                      <a:ext cx="6400800" cy="2702560"/>
                    </a:xfrm>
                    <a:prstGeom prst="rect"/>
                  </pic:spPr>
                </pic:pic>
              </a:graphicData>
            </a:graphic>
          </wp:inline>
        </w:drawing>
      </w:r>
    </w:p>
    <w:p>
      <w:pPr>
        <w:pStyle w:val="Heading2"/>
      </w:pPr>
      <w:r>
        <w:t>Four states are tracked independently</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Track</w:t>
            </w:r>
          </w:p>
        </w:tc>
        <w:tc>
          <w:tcPr>
            <w:tcW w:type="dxa" w:w="8064"/>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Visible states</w:t>
            </w:r>
          </w:p>
        </w:tc>
      </w:tr>
      <w:tr>
        <w:trPr>
          <w:cantSplit/>
        </w:trPr>
        <w:tc>
          <w:tcPr>
            <w:tcW w:type="dxa" w:w="201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Job</w:t>
            </w:r>
          </w:p>
        </w:tc>
        <w:tc>
          <w:tcPr>
            <w:tcW w:type="dxa" w:w="80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New, preparing, waiting on external information, awaiting review, action in progress, blocked, complete or cancelled.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Document</w:t>
            </w:r>
          </w:p>
        </w:tc>
        <w:tc>
          <w:tcPr>
            <w:tcW w:type="dxa" w:w="80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Draft, reviewed, issued for signature, partly signed, fully signed, superseded or void.</w:t>
            </w:r>
          </w:p>
        </w:tc>
      </w:tr>
      <w:tr>
        <w:trPr>
          <w:cantSplit/>
        </w:trPr>
        <w:tc>
          <w:tcPr>
            <w:tcW w:type="dxa" w:w="201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Corporate record</w:t>
            </w:r>
          </w:p>
        </w:tc>
        <w:tc>
          <w:tcPr>
            <w:tcW w:type="dxa" w:w="80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Proposed, approved and future dated, effective, corrected or ceased. Display the applicable effective date.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Filing task</w:t>
            </w:r>
          </w:p>
        </w:tc>
        <w:tc>
          <w:tcPr>
            <w:tcW w:type="dxa" w:w="80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Not required with reason, not ready, ready, submitted, queried, rejected, resubmitted or outcome confirmed.</w:t>
            </w:r>
          </w:p>
        </w:tc>
      </w:tr>
    </w:tbl>
    <w:p/>
    <w:p>
      <w:pPr>
        <w:pStyle w:val="Heading2"/>
      </w:pPr>
      <w:r>
        <w:t>Dates and exceptions</w:t>
      </w:r>
    </w:p>
    <w:p>
      <w:r>
        <w:t>Keep instruction, decision, signature, effective, record entry, submission and regulatory outcome dates separately. A pending filing must not erase a legally effective event. A reviewer can confirm an evidenced event while its filing remains outstanding. Future dated changes do not appear as current before their effective date. Overdue jobs retain their original deadlines; reassignment, cancellation or an extension request does not reset them.</w:t>
      </w:r>
    </w:p>
    <w:p>
      <w:r>
        <w:t>If documents or material facts change after review, flag the affected approval and downstream documents for review again. A correction after completion creates a linked correction or rectification job and preserves the earlier record.</w:t>
      </w:r>
    </w:p>
    <w:p>
      <w:r>
        <w:br w:type="page"/>
      </w:r>
    </w:p>
    <w:p>
      <w:pPr>
        <w:pStyle w:val="Heading1"/>
      </w:pPr>
      <w:r>
        <w:t>W01 and W02 Starting a company file</w:t>
      </w:r>
    </w:p>
    <w:p>
      <w:pPr>
        <w:pStyle w:val="Heading2"/>
      </w:pPr>
      <w:r>
        <w:t>W01 Accept a client and take over records</w:t>
      </w:r>
    </w:p>
    <w:p>
      <w:r>
        <w:t>Trigger: a new engagement or transfer from another secretary. Inputs: engagement scope, company information, authority to instruct, identity evidence, existing registers and filing history.</w:t>
      </w:r>
    </w:p>
    <w:p>
      <w:pPr>
        <w:spacing w:after="140"/>
      </w:pPr>
      <w:r>
        <w:rPr>
          <w:b/>
        </w:rPr>
        <w:t xml:space="preserve">1  Executive  </w:t>
      </w:r>
      <w:r>
        <w:t>Create a prospective company file, identify the instructing contact and record the proposed services and responsible secretary. Request documents through existing channels and log what has been received.</w:t>
      </w:r>
    </w:p>
    <w:p>
      <w:pPr>
        <w:spacing w:after="140"/>
      </w:pPr>
      <w:r>
        <w:rPr>
          <w:b/>
        </w:rPr>
        <w:t xml:space="preserve">2  Compliance reviewer  </w:t>
      </w:r>
      <w:r>
        <w:t>Review due diligence, ownership and risk information. Record acceptance, conditional acceptance or rejection and any enhanced checks. Restrict sensitive material to approved staff.</w:t>
      </w:r>
    </w:p>
    <w:p>
      <w:pPr>
        <w:spacing w:after="140"/>
      </w:pPr>
      <w:r>
        <w:rPr>
          <w:b/>
        </w:rPr>
        <w:t xml:space="preserve">3  Executive  </w:t>
      </w:r>
      <w:r>
        <w:t>Inventory registers, minutes, constitution if any, certificates, signed filings, financial statements and originals. Reconcile the incoming company profile against those records; list gaps rather than treating a profile as a complete statutory file.</w:t>
      </w:r>
    </w:p>
    <w:p>
      <w:pPr>
        <w:spacing w:after="140"/>
      </w:pPr>
      <w:r>
        <w:rPr>
          <w:b/>
        </w:rPr>
        <w:t xml:space="preserve">4  Reviewer  </w:t>
      </w:r>
      <w:r>
        <w:t>Approve opening directors, secretaries, members, share balances, BO information and relevant dates. Mark unverified items with an owner and resolution task. Review inherited late filings and liabilities.</w:t>
      </w:r>
    </w:p>
    <w:p>
      <w:pPr>
        <w:spacing w:after="140"/>
      </w:pPr>
      <w:r>
        <w:rPr>
          <w:b/>
        </w:rPr>
        <w:t xml:space="preserve">5  Executive and lodger  </w:t>
      </w:r>
      <w:r>
        <w:t>Create the secretary appointment or change and any registered office change as linked W04 jobs. Record notices, handover requests and filing evidence. Enter existing deadlines before importing records is finished.</w:t>
      </w:r>
    </w:p>
    <w:p>
      <w:pPr>
        <w:spacing w:after="140"/>
      </w:pPr>
      <w:r>
        <w:rPr>
          <w:b/>
        </w:rPr>
        <w:t xml:space="preserve">6  Reviewer  </w:t>
      </w:r>
      <w:r>
        <w:t>Activate the engagement after acceptance and required appointment checks. Confirm the opening record date and outstanding exceptions. The dashboard must continue to show unresolved historical work.</w:t>
      </w:r>
    </w:p>
    <w:p>
      <w:r>
        <w:t>Completion: the team has an approved opening file, clear responsibility and an owned backlog. Rejected onboarding remains retained under policy and does not become an active engagement.</w:t>
      </w:r>
    </w:p>
    <w:p>
      <w:pPr>
        <w:pStyle w:val="Heading2"/>
      </w:pPr>
      <w:r>
        <w:t>W02 Incorporate and establish initial records</w:t>
      </w:r>
    </w:p>
    <w:p>
      <w:pPr>
        <w:spacing w:after="140"/>
      </w:pPr>
      <w:r>
        <w:rPr>
          <w:b/>
        </w:rPr>
        <w:t xml:space="preserve">1  Executive  </w:t>
      </w:r>
      <w:r>
        <w:t>Open an incorporation case before a registration number exists. Capture proposed names, business activity, registered office, directors, members, share classes and proposed capital. Link acceptance checks to W01.</w:t>
      </w:r>
    </w:p>
    <w:p>
      <w:pPr>
        <w:spacing w:after="140"/>
      </w:pPr>
      <w:r>
        <w:rPr>
          <w:b/>
        </w:rPr>
        <w:t xml:space="preserve">2  Reviewer  </w:t>
      </w:r>
      <w:r>
        <w:t>Validate the proposed structure, eligibility, authority and required consents. Approve the application information and document pack. Record name reservation details and expiry where used.</w:t>
      </w:r>
    </w:p>
    <w:p>
      <w:pPr>
        <w:spacing w:after="140"/>
      </w:pPr>
      <w:r>
        <w:rPr>
          <w:b/>
        </w:rPr>
        <w:t xml:space="preserve">3  Authorised lodger  </w:t>
      </w:r>
      <w:r>
        <w:t>Submit through the applicable SSM process, record payment and references, and resolve queries. A rejected or withdrawn application remains a case, not an incorporated company.</w:t>
      </w:r>
    </w:p>
    <w:p>
      <w:pPr>
        <w:spacing w:after="140"/>
      </w:pPr>
      <w:r>
        <w:rPr>
          <w:b/>
        </w:rPr>
        <w:t xml:space="preserve">4  Executive  </w:t>
      </w:r>
      <w:r>
        <w:t>On evidence of incorporation, record the assigned number and date, establish initial registers and documents, and create secretary appointment, BO and financial period tasks as applicable.</w:t>
      </w:r>
    </w:p>
    <w:p>
      <w:pPr>
        <w:spacing w:after="140"/>
      </w:pPr>
      <w:r>
        <w:rPr>
          <w:b/>
        </w:rPr>
        <w:t xml:space="preserve">5  Reviewer  </w:t>
      </w:r>
      <w:r>
        <w:t>Check initial records and confirm the active company file. Generate the recurring obligation schedule from confirmed dates. Capture evidence of the initial documents supplied outside the system.</w:t>
      </w:r>
    </w:p>
    <w:p>
      <w:r>
        <w:t>Intended behaviour: avoid duplicate files when a prospective company becomes registered. Preserve rejected names and application history without making them the company’s current legal identity.</w:t>
      </w:r>
    </w:p>
    <w:p>
      <w:r>
        <w:br w:type="page"/>
      </w:r>
    </w:p>
    <w:p>
      <w:pPr>
        <w:pStyle w:val="Heading1"/>
      </w:pPr>
      <w:r>
        <w:t>W03 Annual return preparation and filing</w:t>
      </w:r>
    </w:p>
    <w:p>
      <w:r>
        <w:t>Trigger: the incorporation anniversary and internal preparation lead time. Output: an approved return for the relevant year, BO annexure checks, submission outcome and a preserved evidence pack. Annual return work is separate from financial statement work.</w:t>
      </w:r>
    </w:p>
    <w:p>
      <w:pPr>
        <w:spacing w:after="140"/>
      </w:pPr>
      <w:r>
        <w:rPr>
          <w:b/>
        </w:rPr>
        <w:t xml:space="preserve">1  System and executive  </w:t>
      </w:r>
      <w:r>
        <w:t>Create one annual return job per company and reporting year, identify the anniversary and statutory due date, and assign an owner and reviewer. Check for existing jobs before creating another.</w:t>
      </w:r>
    </w:p>
    <w:p>
      <w:pPr>
        <w:spacing w:after="140"/>
      </w:pPr>
      <w:r>
        <w:rPr>
          <w:b/>
        </w:rPr>
        <w:t xml:space="preserve">2  Executive  </w:t>
      </w:r>
      <w:r>
        <w:t>Open the company particulars as at the anniversary date. Review officers, members, share capital, addresses, business activities and relevant BO information. Future events remain visible but outside the snapshot.</w:t>
      </w:r>
    </w:p>
    <w:p>
      <w:pPr>
        <w:spacing w:after="140"/>
      </w:pPr>
      <w:r>
        <w:rPr>
          <w:b/>
        </w:rPr>
        <w:t xml:space="preserve">3  Executive  </w:t>
      </w:r>
      <w:r>
        <w:t>Reconcile the snapshot against company records and the relevant registry information. Identify unlodged changes, disputes or incomplete records. Create linked corrective work rather than altering the return to conceal differences.</w:t>
      </w:r>
    </w:p>
    <w:p>
      <w:pPr>
        <w:spacing w:after="140"/>
      </w:pPr>
      <w:r>
        <w:rPr>
          <w:b/>
        </w:rPr>
        <w:t xml:space="preserve">4  Reviewer  </w:t>
      </w:r>
      <w:r>
        <w:t>Check the filing sequence. PD 5/2018 revised in August 2026 addresses changes before and after the anniversary and their order relative to the annual return. Show a dependency warning when jobs would conflict with that sequence [3].</w:t>
      </w:r>
    </w:p>
    <w:p>
      <w:pPr>
        <w:spacing w:after="140"/>
      </w:pPr>
      <w:r>
        <w:rPr>
          <w:b/>
        </w:rPr>
        <w:t xml:space="preserve">5  Executive  </w:t>
      </w:r>
      <w:r>
        <w:t>Prepare a confirmation pack and record responses from authorised company contacts outside the application. Include the BO verification and annexure checklist; link relevant e-BOS work [4]. Record who confirmed what and when.</w:t>
      </w:r>
    </w:p>
    <w:p>
      <w:pPr>
        <w:spacing w:after="140"/>
      </w:pPr>
      <w:r>
        <w:rPr>
          <w:b/>
        </w:rPr>
        <w:t xml:space="preserve">6  Executive and reviewer  </w:t>
      </w:r>
      <w:r>
        <w:t>Prepare the filing information using the applicable external MBRS preparation process. Attach the draft output, validation results and reviewed snapshot. The reviewer records approval of that specific version.</w:t>
      </w:r>
    </w:p>
    <w:p>
      <w:pPr>
        <w:spacing w:after="140"/>
      </w:pPr>
      <w:r>
        <w:rPr>
          <w:b/>
        </w:rPr>
        <w:t xml:space="preserve">7  Authorised lodger  </w:t>
      </w:r>
      <w:r>
        <w:t>Submit through the permitted channel. Save the actual submitted output, reference, payment evidence and available outcome. A query or rejection reopens the filing task and creates a response deadline.</w:t>
      </w:r>
    </w:p>
    <w:p>
      <w:pPr>
        <w:spacing w:after="140"/>
      </w:pPr>
      <w:r>
        <w:rPr>
          <w:b/>
        </w:rPr>
        <w:t xml:space="preserve">8  Executive and reviewer  </w:t>
      </w:r>
      <w:r>
        <w:t>Reconcile the submission to the approved information, resolve exceptions and close the job with evidence. Keep the previous year’s record and queue the next year without overwriting history.</w:t>
      </w:r>
    </w:p>
    <w:p>
      <w:pPr>
        <w:pStyle w:val="Heading2"/>
      </w:pPr>
      <w:r>
        <w:t>Intended behaviour and safeguards</w:t>
      </w:r>
    </w:p>
    <w:p>
      <w:pPr>
        <w:pStyle w:val="ListBullet"/>
      </w:pPr>
      <w:r>
        <w:t>Display the anniversary, statutory deadline and earlier internal target separately. An incomplete confirmation pack does not stop the deadline running.</w:t>
      </w:r>
    </w:p>
    <w:p>
      <w:pPr>
        <w:pStyle w:val="ListBullet"/>
      </w:pPr>
      <w:r>
        <w:t>Allow a reviewer to reopen the snapshot when a relevant historical event is discovered. Supersede affected drafts and require approval again before filing.</w:t>
      </w:r>
    </w:p>
    <w:p>
      <w:pPr>
        <w:pStyle w:val="ListBullet"/>
      </w:pPr>
      <w:r>
        <w:t>Keep approved data and the actual filed document even when the live company record later changes. Clearly flag any difference between the two.</w:t>
      </w:r>
    </w:p>
    <w:p>
      <w:pPr>
        <w:pStyle w:val="ListBullet"/>
      </w:pPr>
      <w:r>
        <w:t>Do not use completion of an annual return to close outstanding company change or BO filing tasks.</w:t>
      </w:r>
    </w:p>
    <w:p>
      <w:pPr>
        <w:pStyle w:val="Heading2"/>
      </w:pPr>
      <w:r>
        <w:t>Worked example</w:t>
      </w:r>
    </w:p>
    <w:p>
      <w:r>
        <w:t>A company’s anniversary is 10 June. An appointment effective 5 June and a resignation effective 15 June are being processed. The return snapshot must reflect the position at 10 June. Staff see both jobs, but the reviewer resolves the filing order under the current directive before the annual return and later change are lodged. The application preserves both effective events and each separate filing outcome.</w:t>
      </w:r>
    </w:p>
    <w:p>
      <w:r>
        <w:br w:type="page"/>
      </w:r>
    </w:p>
    <w:p>
      <w:pPr>
        <w:pStyle w:val="Heading1"/>
      </w:pPr>
      <w:r>
        <w:t>W04 Officers and company particulars</w:t>
      </w:r>
    </w:p>
    <w:p>
      <w:r>
        <w:t>Use separate event types for appointment, resignation, removal, death, disqualification and change of particulars, including statutory manager particulars where applicable. Do not treat removal as a resignation or assume the same documents establish authority for each event.</w:t>
      </w:r>
    </w:p>
    <w:p>
      <w:pPr>
        <w:pStyle w:val="Heading2"/>
      </w:pPr>
      <w:r>
        <w:t>Director or secretary appointment and cessation</w:t>
      </w:r>
    </w:p>
    <w:p>
      <w:pPr>
        <w:spacing w:after="140"/>
      </w:pPr>
      <w:r>
        <w:rPr>
          <w:b/>
        </w:rPr>
        <w:t xml:space="preserve">1  Executive  </w:t>
      </w:r>
      <w:r>
        <w:t>Open the event against the company. Select an existing person or create a person record after checking for duplicates. Capture the requested role, event type, proposed effective date and source instruction or notice.</w:t>
      </w:r>
    </w:p>
    <w:p>
      <w:pPr>
        <w:spacing w:after="140"/>
      </w:pPr>
      <w:r>
        <w:rPr>
          <w:b/>
        </w:rPr>
        <w:t xml:space="preserve">2  Reviewer  </w:t>
      </w:r>
      <w:r>
        <w:t>Choose the correct authority and legal route. Check eligibility, consent, the constitution where relevant, and the effect on remaining required officers. A possible vacancy or eligibility issue is escalated rather than hidden by completing the checklist.</w:t>
      </w:r>
    </w:p>
    <w:p>
      <w:pPr>
        <w:spacing w:after="140"/>
      </w:pPr>
      <w:r>
        <w:rPr>
          <w:b/>
        </w:rPr>
        <w:t xml:space="preserve">3  Executive  </w:t>
      </w:r>
      <w:r>
        <w:t>Prepare the applicable consent, declaration, resolution, notice and filing pack using approved templates. For director appointment or removal, include the applicable resolution extract and signing checks under PN 9/2024 [5].</w:t>
      </w:r>
    </w:p>
    <w:p>
      <w:pPr>
        <w:spacing w:after="140"/>
      </w:pPr>
      <w:r>
        <w:rPr>
          <w:b/>
        </w:rPr>
        <w:t xml:space="preserve">4  Reviewer and executive  </w:t>
      </w:r>
      <w:r>
        <w:t>Review the pack; record delivery and signatures obtained outside the software. Capture each document version and signature date. For a resignation or other externally effective event, retain the notice and evidence of receipt.</w:t>
      </w:r>
    </w:p>
    <w:p>
      <w:pPr>
        <w:spacing w:after="140"/>
      </w:pPr>
      <w:r>
        <w:rPr>
          <w:b/>
        </w:rPr>
        <w:t xml:space="preserve">5  Reviewer  </w:t>
      </w:r>
      <w:r>
        <w:t>Confirm the event and its effective date when the required evidence supports it. End the old appointment or add the new one without deleting history. Flag the linked statutory filing as outstanding until it is separately completed.</w:t>
      </w:r>
    </w:p>
    <w:p>
      <w:pPr>
        <w:spacing w:after="140"/>
      </w:pPr>
      <w:r>
        <w:rPr>
          <w:b/>
        </w:rPr>
        <w:t xml:space="preserve">6  Authorised lodger  </w:t>
      </w:r>
      <w:r>
        <w:t>Submit the relevant notification through the current channel, retain output and outcome, and resolve queries. A later registry outcome must not silently replace the event’s effective date.</w:t>
      </w:r>
    </w:p>
    <w:p>
      <w:r>
        <w:t>Completion: documents, appointment history and required filing tasks reconcile. A disputed or legally problematic event remains an exception case with the evidence and reviewer decision visible.</w:t>
      </w:r>
    </w:p>
    <w:p>
      <w:pPr>
        <w:pStyle w:val="Heading2"/>
      </w:pPr>
      <w:r>
        <w:t>Address and other particulars changes</w:t>
      </w:r>
    </w:p>
    <w:p>
      <w:pPr>
        <w:spacing w:after="140"/>
      </w:pPr>
      <w:r>
        <w:rPr>
          <w:b/>
        </w:rPr>
        <w:t xml:space="preserve">1  Executive  </w:t>
      </w:r>
      <w:r>
        <w:t>Choose registered office, business or branch address, business activity, records location or personal particulars as the event type. Enter old and new values, effective date and supporting instruction.</w:t>
      </w:r>
    </w:p>
    <w:p>
      <w:pPr>
        <w:spacing w:after="140"/>
      </w:pPr>
      <w:r>
        <w:rPr>
          <w:b/>
        </w:rPr>
        <w:t xml:space="preserve">2  Reviewer  </w:t>
      </w:r>
      <w:r>
        <w:t>Confirm which record and notification obligations apply. Registered office and business address changes must not be treated as interchangeable; select the relevant pack and filing tasks.</w:t>
      </w:r>
    </w:p>
    <w:p>
      <w:pPr>
        <w:spacing w:after="140"/>
      </w:pPr>
      <w:r>
        <w:rPr>
          <w:b/>
        </w:rPr>
        <w:t xml:space="preserve">3  Executive and lodger  </w:t>
      </w:r>
      <w:r>
        <w:t>Prepare, review and obtain required evidence; record the effective change; complete and evidence applicable notifications. Preserve the former address and dates. Trigger document or correspondence updates where relevant.</w:t>
      </w:r>
    </w:p>
    <w:p>
      <w:pPr>
        <w:pStyle w:val="Heading2"/>
      </w:pPr>
      <w:r>
        <w:t>Shared person records</w:t>
      </w:r>
    </w:p>
    <w:p>
      <w:r>
        <w:t>If one director serves three managed companies and changes an address, maintain the person’s history once but create the relevant company specific review and notification tasks. Do not mark all three companies filed when only one filing is complete. Nonstatutory contact edits may use a lighter approved correction process while retaining the edit history.</w:t>
      </w:r>
    </w:p>
    <w:p>
      <w:r>
        <w:br w:type="page"/>
      </w:r>
    </w:p>
    <w:p>
      <w:pPr>
        <w:pStyle w:val="Heading1"/>
      </w:pPr>
      <w:r>
        <w:t>W05 Members and share capital</w:t>
      </w:r>
    </w:p>
    <w:p>
      <w:r>
        <w:t>The product must maintain a transaction history for members and shares, not merely an editable percentage table. Record share class, units, issued capital, paid and unpaid amounts, rights information, member identity and supporting documents. Validate class totals and prevent holdings becoming negative.</w:t>
      </w:r>
    </w:p>
    <w:p>
      <w:pPr>
        <w:pStyle w:val="Heading2"/>
      </w:pPr>
      <w:r>
        <w:t>Transfer of existing shares</w:t>
      </w:r>
    </w:p>
    <w:p>
      <w:pPr>
        <w:spacing w:after="140"/>
      </w:pPr>
      <w:r>
        <w:rPr>
          <w:b/>
        </w:rPr>
        <w:t xml:space="preserve">1  Executive  </w:t>
      </w:r>
      <w:r>
        <w:t>Open a transfer job with transferor, transferee, class, units, consideration and relevant dates. Check the transferor’s available holding and any pending transaction against it.</w:t>
      </w:r>
    </w:p>
    <w:p>
      <w:pPr>
        <w:spacing w:after="140"/>
      </w:pPr>
      <w:r>
        <w:rPr>
          <w:b/>
        </w:rPr>
        <w:t xml:space="preserve">2  Reviewer  </w:t>
      </w:r>
      <w:r>
        <w:t>Review the constitution, restrictions, required approvals and instrument of transfer. Define the stamping and registration evidence required for this case. The SSM section 105 form is a document reference, not a complete transaction checklist [6].</w:t>
      </w:r>
    </w:p>
    <w:p>
      <w:pPr>
        <w:spacing w:after="140"/>
      </w:pPr>
      <w:r>
        <w:rPr>
          <w:b/>
        </w:rPr>
        <w:t xml:space="preserve">3  Executive  </w:t>
      </w:r>
      <w:r>
        <w:t>Prepare and track the transfer pack, approvals and signatures. Log stamping or other external processing evidence and its status; do not calculate a final tax obligation without an approved basis.</w:t>
      </w:r>
    </w:p>
    <w:p>
      <w:pPr>
        <w:spacing w:after="140"/>
      </w:pPr>
      <w:r>
        <w:rPr>
          <w:b/>
        </w:rPr>
        <w:t xml:space="preserve">4  Reviewer  </w:t>
      </w:r>
      <w:r>
        <w:t>Approve registration of the evidenced transfer and the correct register date. Show the before and after holdings. The transaction reduces one holding and increases another without increasing the total issued shares.</w:t>
      </w:r>
    </w:p>
    <w:p>
      <w:pPr>
        <w:spacing w:after="140"/>
      </w:pPr>
      <w:r>
        <w:rPr>
          <w:b/>
        </w:rPr>
        <w:t xml:space="preserve">5  Executive and lodger  </w:t>
      </w:r>
      <w:r>
        <w:t>Update certificate status where relevant, prepare required member notifications and complete filing tasks. Assess whether BO information also needs a linked W06 review.</w:t>
      </w:r>
    </w:p>
    <w:p>
      <w:pPr>
        <w:pStyle w:val="Heading2"/>
      </w:pPr>
      <w:r>
        <w:t>Allotment of new shares</w:t>
      </w:r>
    </w:p>
    <w:p>
      <w:pPr>
        <w:spacing w:after="140"/>
      </w:pPr>
      <w:r>
        <w:rPr>
          <w:b/>
        </w:rPr>
        <w:t xml:space="preserve">1  Executive  </w:t>
      </w:r>
      <w:r>
        <w:t>Capture proposed allottees, class, number of shares, consideration, payment details and intended allotment date. Show the proposed capital and holdings before posting.</w:t>
      </w:r>
    </w:p>
    <w:p>
      <w:pPr>
        <w:spacing w:after="140"/>
      </w:pPr>
      <w:r>
        <w:rPr>
          <w:b/>
        </w:rPr>
        <w:t xml:space="preserve">2  Reviewer  </w:t>
      </w:r>
      <w:r>
        <w:t>Check authority, member rights, required consents, approvals and applicable evidence. Approve the documents and establish the allotment event separately from a proposed subscription.</w:t>
      </w:r>
    </w:p>
    <w:p>
      <w:pPr>
        <w:spacing w:after="140"/>
      </w:pPr>
      <w:r>
        <w:rPr>
          <w:b/>
        </w:rPr>
        <w:t xml:space="preserve">3  Executive and reviewer  </w:t>
      </w:r>
      <w:r>
        <w:t>Record the evidenced allotment, paid and unpaid amounts, and approved effective entry. Increase issued shares and reconcile the company and member totals. Prepare certificates where required.</w:t>
      </w:r>
    </w:p>
    <w:p>
      <w:pPr>
        <w:spacing w:after="140"/>
      </w:pPr>
      <w:r>
        <w:rPr>
          <w:b/>
        </w:rPr>
        <w:t xml:space="preserve">4  Authorised lodger  </w:t>
      </w:r>
      <w:r>
        <w:t>Complete the relevant approvals or allotment returns and member notifications; retain the submitted details. Link BO review and any registry prerequisites rather than assuming the allotment filing closes all consequences.</w:t>
      </w:r>
    </w:p>
    <w:p>
      <w:pPr>
        <w:pStyle w:val="Heading2"/>
      </w:pPr>
      <w:r>
        <w:t>Other ownership events and exceptions</w:t>
      </w:r>
    </w:p>
    <w:p>
      <w:r>
        <w:t>Transmission on death or other legal succession, redemption, conversion, consolidation, subdivision, class rights and capital reduction must use separate reviewed event types. Support a case specific checklist and approved before and after balances. Prevent generic edits to issued capital from bypassing the event history. Maintain cancelled, replaced and issued certificate numbers without reusing an existing number.</w:t>
      </w:r>
    </w:p>
    <w:p>
      <w:r>
        <w:t>Before relevant share filings, the reviewer must assess PD 11/2026 applicability, including affected local companies with more than one share type. Record any required preliminary information lodgement and dependency [7]. An abandoned proposal has no effect on confirmed holdings; a posted error requires a linked correction.</w:t>
      </w:r>
    </w:p>
    <w:p>
      <w:r>
        <w:br w:type="page"/>
      </w:r>
    </w:p>
    <w:p>
      <w:pPr>
        <w:pStyle w:val="Heading1"/>
      </w:pPr>
      <w:r>
        <w:t>W06 Beneficial ownership</w:t>
      </w:r>
    </w:p>
    <w:p>
      <w:r>
        <w:t>Trigger: initial setup, takeover, a change in ownership or control, a periodic verification task or a discrepancy. Maintain BO information separately from registered members. A corporate member is not itself the ultimate individual beneficial owner, and a percentage alone does not establish all control relationships [8].</w:t>
      </w:r>
    </w:p>
    <w:p>
      <w:pPr>
        <w:spacing w:after="140"/>
      </w:pPr>
      <w:r>
        <w:rPr>
          <w:b/>
        </w:rPr>
        <w:t xml:space="preserve">1  Executive  </w:t>
      </w:r>
      <w:r>
        <w:t>Open a BO review and gather the current member structure, relevant control information and previous assessment. Identify missing declarations or supporting documents. Record the relevant review period and responsible reviewer.</w:t>
      </w:r>
    </w:p>
    <w:p>
      <w:pPr>
        <w:spacing w:after="140"/>
      </w:pPr>
      <w:r>
        <w:rPr>
          <w:b/>
        </w:rPr>
        <w:t xml:space="preserve">2  Executive  </w:t>
      </w:r>
      <w:r>
        <w:t>Prepare notices from approved templates, record recipients and issue dates, and track reply dates and follow up. Store replies and evidence against the notice. Provide a recurring task for the annual notice requirement described in SSM guidance [8].</w:t>
      </w:r>
    </w:p>
    <w:p>
      <w:pPr>
        <w:spacing w:after="140"/>
      </w:pPr>
      <w:r>
        <w:rPr>
          <w:b/>
        </w:rPr>
        <w:t xml:space="preserve">3  Reviewer  </w:t>
      </w:r>
      <w:r>
        <w:t>Assess the applicable BO criteria and evidence. Record each individual’s basis of ownership or control, relevant dates, supporting analysis and any unresolved ownership chain. Where an alternative treatment is legally appropriate, record its basis explicitly rather than leaving an unexplained blank.</w:t>
      </w:r>
    </w:p>
    <w:p>
      <w:pPr>
        <w:spacing w:after="140"/>
      </w:pPr>
      <w:r>
        <w:rPr>
          <w:b/>
        </w:rPr>
        <w:t xml:space="preserve">4  Reviewer and executive  </w:t>
      </w:r>
      <w:r>
        <w:t>Approve the BO register entry or change, record the actual entry date and effective information, and maintain previous entries. A change to the member register prompts review but does not automatically determine or replace BO information.</w:t>
      </w:r>
    </w:p>
    <w:p>
      <w:pPr>
        <w:spacing w:after="140"/>
      </w:pPr>
      <w:r>
        <w:rPr>
          <w:b/>
        </w:rPr>
        <w:t xml:space="preserve">5  Authorised lodger  </w:t>
      </w:r>
      <w:r>
        <w:t>Create and complete the required e-BOS task through the external process. Store the submitted information, reference and outcome separately from the internal register. Track rectification or discrepancy work as a distinct linked case [9].</w:t>
      </w:r>
    </w:p>
    <w:p>
      <w:pPr>
        <w:spacing w:after="140"/>
      </w:pPr>
      <w:r>
        <w:rPr>
          <w:b/>
        </w:rPr>
        <w:t xml:space="preserve">6  Executive  </w:t>
      </w:r>
      <w:r>
        <w:t>Link the verified BO position and outstanding exceptions to annual return preparation. Check applicable pre-anniversary BO filing dependencies before the annual return and annexure are lodged [4].</w:t>
      </w:r>
    </w:p>
    <w:p>
      <w:pPr>
        <w:spacing w:after="140"/>
      </w:pPr>
      <w:r>
        <w:rPr>
          <w:b/>
        </w:rPr>
        <w:t xml:space="preserve">7  Reviewer  </w:t>
      </w:r>
      <w:r>
        <w:t>Reconcile the register, evidence and filed position. Close only when required notices, assessment and filing outcomes are accounted for, or record a legally supported exception with an owner and further action.</w:t>
      </w:r>
    </w:p>
    <w:p>
      <w:pPr>
        <w:pStyle w:val="Heading2"/>
      </w:pPr>
      <w:r>
        <w:t>Intended behaviour</w:t>
      </w:r>
    </w:p>
    <w:p>
      <w:pPr>
        <w:pStyle w:val="ListBullet"/>
      </w:pPr>
      <w:r>
        <w:t>The BO workspace shows individuals, criteria, effective dates, notices, replies, evidence, register entry date, filing status and next review. Missing information stays visible.</w:t>
      </w:r>
    </w:p>
    <w:p>
      <w:pPr>
        <w:pStyle w:val="ListBullet"/>
      </w:pPr>
      <w:r>
        <w:t>No automatic assumption that a direct member is the beneficial owner. Staff can record indirect ownership and other control evidence for review without needing automated ownership calculations.</w:t>
      </w:r>
    </w:p>
    <w:p>
      <w:pPr>
        <w:pStyle w:val="ListBullet"/>
      </w:pPr>
      <w:r>
        <w:t>Limit access and exports to authorised staff. A request for information is assessed for entitlement and permitted scope before any disclosure. General company exports exclude restricted BO details by default.</w:t>
      </w:r>
    </w:p>
    <w:p>
      <w:pPr>
        <w:pStyle w:val="ListBullet"/>
      </w:pPr>
      <w:r>
        <w:t>Nonresponse, conflicting declarations and differences between internal and registry information create escalation tasks. They cannot be resolved by a generic complete checkbox.</w:t>
      </w:r>
    </w:p>
    <w:p>
      <w:pPr>
        <w:pStyle w:val="Heading2"/>
      </w:pPr>
      <w:r>
        <w:t>Worked example</w:t>
      </w:r>
    </w:p>
    <w:p>
      <w:r>
        <w:t>A company transfers shares from an individual to a corporate member. W05 changes the registered holding. W06 opens a control review, records notices and evidence about the ultimate individuals, and identifies any required BO update. Completion of the transfer must not automatically clear that separate review.</w:t>
      </w:r>
    </w:p>
    <w:p>
      <w:r>
        <w:br w:type="page"/>
      </w:r>
    </w:p>
    <w:p>
      <w:pPr>
        <w:pStyle w:val="Heading1"/>
      </w:pPr>
      <w:r>
        <w:t>W07 Meetings resolutions and signatures</w:t>
      </w:r>
    </w:p>
    <w:p>
      <w:r>
        <w:t>Trigger: a decision requiring board or member action, a meeting request or a linked corporate event. This workflow also supports ordinary board resolutions such as bank mandates or an approved dividend. The reviewer determines whether a meeting, written resolution or another lawful route applies.</w:t>
      </w:r>
    </w:p>
    <w:p>
      <w:pPr>
        <w:spacing w:after="140"/>
      </w:pPr>
      <w:r>
        <w:rPr>
          <w:b/>
        </w:rPr>
        <w:t xml:space="preserve">1  Executive  </w:t>
      </w:r>
      <w:r>
        <w:t>Create the decision record and link the underlying job. Select board or members, the proposed route, purpose, proposed dates, participants and relevant company documents.</w:t>
      </w:r>
    </w:p>
    <w:p>
      <w:pPr>
        <w:spacing w:after="140"/>
      </w:pPr>
      <w:r>
        <w:rPr>
          <w:b/>
        </w:rPr>
        <w:t xml:space="preserve">2  Reviewer  </w:t>
      </w:r>
      <w:r>
        <w:t>Confirm authority, notice, quorum, voting, conflicts and execution requirements from the applicable rules and constitution. Record the requirements for this case. Private company annual work must not automatically create an AGM requirement; assess the applicable meeting obligations separately [1].</w:t>
      </w:r>
    </w:p>
    <w:p>
      <w:pPr>
        <w:spacing w:after="140"/>
      </w:pPr>
      <w:r>
        <w:rPr>
          <w:b/>
        </w:rPr>
        <w:t xml:space="preserve">3  Executive  </w:t>
      </w:r>
      <w:r>
        <w:t>Generate the approved notice, agenda, resolution or meeting pack. Use the reviewed company information and identify the exact template version. Obtain review before issuing documents through existing external channels.</w:t>
      </w:r>
    </w:p>
    <w:p>
      <w:pPr>
        <w:spacing w:after="140"/>
      </w:pPr>
      <w:r>
        <w:rPr>
          <w:b/>
        </w:rPr>
        <w:t xml:space="preserve">4  Executive  </w:t>
      </w:r>
      <w:r>
        <w:t>Record notice delivery, attendance, proxies or corporate representatives where relevant, quorum assessment, interests disclosed, voting outcomes and amendments. For a written resolution, record circulation and each eligible response instead.</w:t>
      </w:r>
    </w:p>
    <w:p>
      <w:pPr>
        <w:spacing w:after="140"/>
      </w:pPr>
      <w:r>
        <w:rPr>
          <w:b/>
        </w:rPr>
        <w:t xml:space="preserve">5  Reviewer  </w:t>
      </w:r>
      <w:r>
        <w:t>Determine whether the decision was validly passed, failed, deferred or requires further action. Record the decision date and approved text. An unsigned draft or calendar meeting entry is not a passed resolution.</w:t>
      </w:r>
    </w:p>
    <w:p>
      <w:pPr>
        <w:spacing w:after="140"/>
      </w:pPr>
      <w:r>
        <w:rPr>
          <w:b/>
        </w:rPr>
        <w:t xml:space="preserve">6  Executive  </w:t>
      </w:r>
      <w:r>
        <w:t>Prepare and finalise minutes or the resolution record and collect the required signatures. Store the executed version and supporting evidence. For changes after issue, supersede the old version and assess whether it must be issued again.</w:t>
      </w:r>
    </w:p>
    <w:p>
      <w:pPr>
        <w:spacing w:after="140"/>
      </w:pPr>
      <w:r>
        <w:rPr>
          <w:b/>
        </w:rPr>
        <w:t xml:space="preserve">7  Reviewer and executive  </w:t>
      </w:r>
      <w:r>
        <w:t>Create the resulting actions, filings and record changes with owners and deadlines. Archive the final decision in the minute book and close the meeting job only when its own completion criteria are met; linked implementation work can remain open.</w:t>
      </w:r>
    </w:p>
    <w:p>
      <w:pPr>
        <w:pStyle w:val="Heading2"/>
      </w:pPr>
      <w:r>
        <w:t>Document and signature behaviour</w:t>
      </w:r>
    </w:p>
    <w:p>
      <w:pPr>
        <w:pStyle w:val="ListBullet"/>
      </w:pPr>
      <w:r>
        <w:t>Populate approved templates from selected company records and allow controlled editing. Show which fields were changed and require fresh review when material content changes.</w:t>
      </w:r>
    </w:p>
    <w:p>
      <w:pPr>
        <w:pStyle w:val="ListBullet"/>
      </w:pPr>
      <w:r>
        <w:t>Track each document separately, including signer, capacity, date sent, date received and missing signatures. Staff upload signed copies; no external login or built in electronic signing service is required.</w:t>
      </w:r>
    </w:p>
    <w:p>
      <w:pPr>
        <w:pStyle w:val="ListBullet"/>
      </w:pPr>
      <w:r>
        <w:t>Keep the draft, reviewed, issued and executed versions together. Prevent replacing a signed document with a later draft under the same final label.</w:t>
      </w:r>
    </w:p>
    <w:p>
      <w:pPr>
        <w:pStyle w:val="ListBullet"/>
      </w:pPr>
      <w:r>
        <w:t>Permit cancellation or failure of a decision with the reason and record intact. Do not trigger corporate record updates when the necessary decision did not occur.</w:t>
      </w:r>
    </w:p>
    <w:p>
      <w:pPr>
        <w:pStyle w:val="Heading2"/>
      </w:pPr>
      <w:r>
        <w:t>Example of linked jobs</w:t>
      </w:r>
    </w:p>
    <w:p>
      <w:r>
        <w:t>A bank mandate request creates a W09 service job and a W07 board decision. Once approved and executed, staff record delivery to the bank and its response. The decision can be complete while the bank’s implementation remains pending.</w:t>
      </w:r>
    </w:p>
    <w:p>
      <w:r>
        <w:br w:type="page"/>
      </w:r>
    </w:p>
    <w:p>
      <w:pPr>
        <w:pStyle w:val="Heading1"/>
      </w:pPr>
      <w:r>
        <w:t>W08 Financial statements and audit coordination</w:t>
      </w:r>
    </w:p>
    <w:p>
      <w:r>
        <w:t>Trigger: the company’s financial period and applicable obligations. The product coordinates secretarial work and records evidence. Preparation of accounts, audit work and professional financial judgments remain with the appointed parties.</w:t>
      </w:r>
    </w:p>
    <w:p>
      <w:pPr>
        <w:spacing w:after="140"/>
      </w:pPr>
      <w:r>
        <w:rPr>
          <w:b/>
        </w:rPr>
        <w:t xml:space="preserve">1  System and executive  </w:t>
      </w:r>
      <w:r>
        <w:t>Create the financial period case from confirmed dates. Identify the accountant, auditor where applicable, required information and internal preparation milestones. Keep the annual return job separate.</w:t>
      </w:r>
    </w:p>
    <w:p>
      <w:pPr>
        <w:spacing w:after="140"/>
      </w:pPr>
      <w:r>
        <w:rPr>
          <w:b/>
        </w:rPr>
        <w:t xml:space="preserve">2  Reviewer  </w:t>
      </w:r>
      <w:r>
        <w:t>Record whether an audit is required or an exemption is being assessed. Retain evidence and the approved decision for that financial period. PD 10/2024 uses phased criteria, so the applicable period and rules must be considered; a dormant label alone must not clear the job [10].</w:t>
      </w:r>
    </w:p>
    <w:p>
      <w:pPr>
        <w:spacing w:after="140"/>
      </w:pPr>
      <w:r>
        <w:rPr>
          <w:b/>
        </w:rPr>
        <w:t xml:space="preserve">3  Executive  </w:t>
      </w:r>
      <w:r>
        <w:t>Track requests, drafts, expected delivery and missing items from the external preparer or auditor. Attach received documents with a draft or final status. Escalate delays against the statutory dates.</w:t>
      </w:r>
    </w:p>
    <w:p>
      <w:pPr>
        <w:spacing w:after="140"/>
      </w:pPr>
      <w:r>
        <w:rPr>
          <w:b/>
        </w:rPr>
        <w:t xml:space="preserve">4  Executive and reviewer  </w:t>
      </w:r>
      <w:r>
        <w:t>Arrange required board consideration and execution of the financial statements and reports through W07. Check that the document pack, financial period and signatures agree. A changed financial statement version must trigger review of dependent documents.</w:t>
      </w:r>
    </w:p>
    <w:p>
      <w:pPr>
        <w:spacing w:after="140"/>
      </w:pPr>
      <w:r>
        <w:rPr>
          <w:b/>
        </w:rPr>
        <w:t xml:space="preserve">5  Executive  </w:t>
      </w:r>
      <w:r>
        <w:t>Record circulation of the final pack to the required recipients through external channels. Keep the date, version, recipient list and delivery evidence. Determine the related lodgement deadline using the approved rule and actual trigger date.</w:t>
      </w:r>
    </w:p>
    <w:p>
      <w:pPr>
        <w:spacing w:after="140"/>
      </w:pPr>
      <w:r>
        <w:rPr>
          <w:b/>
        </w:rPr>
        <w:t xml:space="preserve">6  Authorised preparer and lodger  </w:t>
      </w:r>
      <w:r>
        <w:t>Prepare and validate the required external filing package, obtain approval and lodge through the applicable MBRS process. Attach the submitted package, validation output, payment, reference and outcome.</w:t>
      </w:r>
    </w:p>
    <w:p>
      <w:pPr>
        <w:spacing w:after="140"/>
      </w:pPr>
      <w:r>
        <w:rPr>
          <w:b/>
        </w:rPr>
        <w:t xml:space="preserve">7  Reviewer  </w:t>
      </w:r>
      <w:r>
        <w:t>Confirm reconciliation between the signed, circulated and lodged versions. Resolve queries, preserve the complete period history and close the obligations individually rather than clearing them all when one filing is submitted.</w:t>
      </w:r>
    </w:p>
    <w:p>
      <w:pPr>
        <w:pStyle w:val="Heading2"/>
      </w:pPr>
      <w:r>
        <w:t>Extensions and financial period changes</w:t>
      </w:r>
    </w:p>
    <w:p>
      <w:r>
        <w:t>Create a linked extension application where appropriate. Store the original due date, application date, requested extension, authority response and approved revised deadline. An application does not itself grant an extension. A rejection restores neither lost time nor a later internal target; keep overdue status visible.</w:t>
      </w:r>
    </w:p>
    <w:p>
      <w:r>
        <w:t>Changing the financial year end creates a reviewed event and a recalculation preview of affected obligations. Preserve obligations already completed for earlier periods. Require the reviewer to confirm any changed due dates and required notifications before adopting the revised schedule.</w:t>
      </w:r>
    </w:p>
    <w:p>
      <w:pPr>
        <w:pStyle w:val="Heading2"/>
      </w:pPr>
      <w:r>
        <w:t>Auditor changes and completion</w:t>
      </w:r>
    </w:p>
    <w:p>
      <w:r>
        <w:t>For an auditor appointment, resignation or removal, staff open a linked event, record the proposed or outgoing auditor, and collect the supporting notices, consent and authority. The reviewer chooses the legal route and required decisions; staff prepare the approved pack, track execution and complete any applicable notification. Record effective appointment history separately from filing status. An audit status change must not silently remove the incumbent auditor.</w:t>
      </w:r>
    </w:p>
    <w:p>
      <w:r>
        <w:t>Close the period only when the applicable signed reports, circulation evidence, filing outcomes and exceptions reconcile. Any audit exemption or exempt private company treatment needs its own approved basis and documents. Financial statement and annual return submission remain separate obligations [11].</w:t>
      </w:r>
    </w:p>
    <w:p>
      <w:r>
        <w:br w:type="page"/>
      </w:r>
    </w:p>
    <w:p>
      <w:pPr>
        <w:pStyle w:val="Heading1"/>
      </w:pPr>
      <w:r>
        <w:t>W09 Other corporate events</w:t>
      </w:r>
    </w:p>
    <w:p>
      <w:r>
        <w:t>Use the shared review, document and filing controls for the following activities. Routine event packs should be available for the services the team performs. Less frequent matters must still be manageable through a reviewed checklist and linked records.</w:t>
      </w:r>
    </w:p>
    <w:p>
      <w:pPr>
        <w:pStyle w:val="Heading2"/>
      </w:pPr>
      <w:r>
        <w:t>Company name and constitution</w:t>
      </w:r>
    </w:p>
    <w:p>
      <w:pPr>
        <w:spacing w:after="140"/>
      </w:pPr>
      <w:r>
        <w:rPr>
          <w:b/>
        </w:rPr>
        <w:t xml:space="preserve">1  Executive  </w:t>
      </w:r>
      <w:r>
        <w:t>Record the requested new name or proposed constitution adoption or amendment, authority to instruct, proposed timing and relevant existing documents.</w:t>
      </w:r>
    </w:p>
    <w:p>
      <w:pPr>
        <w:spacing w:after="140"/>
      </w:pPr>
      <w:r>
        <w:rPr>
          <w:b/>
        </w:rPr>
        <w:t xml:space="preserve">2  Reviewer  </w:t>
      </w:r>
      <w:r>
        <w:t>Identify the reservation, decision, consent and filing requirements. Approve the resolution and application pack; retain the proposed name and text separately from the current confirmed version.</w:t>
      </w:r>
    </w:p>
    <w:p>
      <w:pPr>
        <w:spacing w:after="140"/>
      </w:pPr>
      <w:r>
        <w:rPr>
          <w:b/>
        </w:rPr>
        <w:t xml:space="preserve">3  Executive and lodger  </w:t>
      </w:r>
      <w:r>
        <w:t>Track reservation expiry, decisions, executed documents, lodgement and outcome. Respond to queries through a linked task. On the legally supported effective event, update the name or constitution version and retain its predecessor.</w:t>
      </w:r>
    </w:p>
    <w:p>
      <w:pPr>
        <w:spacing w:after="140"/>
      </w:pPr>
      <w:r>
        <w:rPr>
          <w:b/>
        </w:rPr>
        <w:t xml:space="preserve">4  Executive  </w:t>
      </w:r>
      <w:r>
        <w:t>Generate follow up tasks for company documents, relevant registers, bank or other notifications and the provision of final documents. A name change retains the company’s existing identity and history.</w:t>
      </w:r>
    </w:p>
    <w:p>
      <w:pPr>
        <w:pStyle w:val="Heading2"/>
      </w:pPr>
      <w:r>
        <w:t>Charges and secured borrowing</w:t>
      </w:r>
    </w:p>
    <w:p>
      <w:pPr>
        <w:spacing w:after="140"/>
      </w:pPr>
      <w:r>
        <w:rPr>
          <w:b/>
        </w:rPr>
        <w:t xml:space="preserve">1  Executive  </w:t>
      </w:r>
      <w:r>
        <w:t>Open a charge creation, variation, satisfaction, release or correction case. Record parties, security details, relevant instrument and creation or discharge dates. Identify the lender, lawyer and responsible reviewer.</w:t>
      </w:r>
    </w:p>
    <w:p>
      <w:pPr>
        <w:spacing w:after="140"/>
      </w:pPr>
      <w:r>
        <w:rPr>
          <w:b/>
        </w:rPr>
        <w:t xml:space="preserve">2  Reviewer  </w:t>
      </w:r>
      <w:r>
        <w:t>Determine the applicable registration or other action, deadline and evidence. Link the authorising decision and any specialist advice. The existence of borrowing alone must not automatically be treated as a registrable charge.</w:t>
      </w:r>
    </w:p>
    <w:p>
      <w:pPr>
        <w:spacing w:after="140"/>
      </w:pPr>
      <w:r>
        <w:rPr>
          <w:b/>
        </w:rPr>
        <w:t xml:space="preserve">3  Executive and lodger  </w:t>
      </w:r>
      <w:r>
        <w:t>Track the instrument, required consents, submission, outcome and supporting certificate or acknowledgement. Update the charge record at the appropriate evidenced stage and retain the instruments. Escalate late registration or rectification as a separate case.</w:t>
      </w:r>
    </w:p>
    <w:p>
      <w:pPr>
        <w:pStyle w:val="Heading2"/>
      </w:pPr>
      <w:r>
        <w:t>Dividends bank mandates and other decisions</w:t>
      </w:r>
    </w:p>
    <w:p>
      <w:r>
        <w:t>For dividends, capture the proposal, external financial information, required professional assessments, authorising decision, entitled members and payment record supplied by the company. Staff must not infer that a balance in the software authorises a distribution. For bank mandates and other board decisions, track the resolution, execution, delivery and external response. These events may produce documents and follow up without changing statutory particulars.</w:t>
      </w:r>
    </w:p>
    <w:p>
      <w:pPr>
        <w:pStyle w:val="Heading2"/>
      </w:pPr>
      <w:r>
        <w:t>Specialist corporate actions</w:t>
      </w:r>
    </w:p>
    <w:p>
      <w:r>
        <w:t>Capital reduction, redemption, class rights, conversion, restructuring and corporate rescue require a case specific plan approved by the practising secretary, with external professional involvement where needed. Staff must be able to record conditions, notices, objections, applications, orders and outcomes, then approve the resulting records. The first release need not automate specialist legal judgments or calculations, but must not mark the case complete with unresolved conditions.</w:t>
      </w:r>
    </w:p>
    <w:p>
      <w:r>
        <w:t>Intended behaviour: an event can create several related jobs. Each has its own evidence and outcome, while the parent case shows whether all required consequences have been addressed. Source document categories and lodgement requirements are maintained against the current SSM framework [1].</w:t>
      </w:r>
    </w:p>
    <w:p>
      <w:r>
        <w:br w:type="page"/>
      </w:r>
    </w:p>
    <w:p>
      <w:pPr>
        <w:pStyle w:val="Heading1"/>
      </w:pPr>
      <w:r>
        <w:t>W10 Handover and company cessation</w:t>
      </w:r>
    </w:p>
    <w:p>
      <w:pPr>
        <w:pStyle w:val="Heading2"/>
      </w:pPr>
      <w:r>
        <w:t>Service termination or change of secretary</w:t>
      </w:r>
    </w:p>
    <w:p>
      <w:pPr>
        <w:spacing w:after="140"/>
      </w:pPr>
      <w:r>
        <w:rPr>
          <w:b/>
        </w:rPr>
        <w:t xml:space="preserve">1  Manager and executive  </w:t>
      </w:r>
      <w:r>
        <w:t>Open an exit job with the reason, instruction or notice, effective service end proposal and responsible reviewer. Distinguish termination of the commercial engagement from cessation of the secretary’s appointment.</w:t>
      </w:r>
    </w:p>
    <w:p>
      <w:pPr>
        <w:spacing w:after="140"/>
      </w:pPr>
      <w:r>
        <w:rPr>
          <w:b/>
        </w:rPr>
        <w:t xml:space="preserve">2  Reviewer  </w:t>
      </w:r>
      <w:r>
        <w:t>Assess the appropriate appointment or cessation route, notices, filing obligations and transfer of responsibility. Use W04 for the officer event. Unpaid fees or a service end date must not automatically remove the secretary from the corporate record.</w:t>
      </w:r>
    </w:p>
    <w:p>
      <w:pPr>
        <w:spacing w:after="140"/>
      </w:pPr>
      <w:r>
        <w:rPr>
          <w:b/>
        </w:rPr>
        <w:t xml:space="preserve">3  Executive  </w:t>
      </w:r>
      <w:r>
        <w:t>Prepare a handover inventory covering registers, minutes, BO material, certificates, original documents, filing history and outstanding obligations. Record the proposed recipient and verify authority before release.</w:t>
      </w:r>
    </w:p>
    <w:p>
      <w:pPr>
        <w:spacing w:after="140"/>
      </w:pPr>
      <w:r>
        <w:rPr>
          <w:b/>
        </w:rPr>
        <w:t xml:space="preserve">4  Executive and lodger  </w:t>
      </w:r>
      <w:r>
        <w:t>Complete required notices and filings; record the actual cessation and handover dates, evidence of receipt and any unresolved responsibilities. Reassign open jobs or record the approved reason for closing them.</w:t>
      </w:r>
    </w:p>
    <w:p>
      <w:pPr>
        <w:spacing w:after="140"/>
      </w:pPr>
      <w:r>
        <w:rPr>
          <w:b/>
        </w:rPr>
        <w:t xml:space="preserve">5  Manager  </w:t>
      </w:r>
      <w:r>
        <w:t>Archive the engagement when the handover conditions are met. Preserve company history, former appointments and documents under the retention policy. End routine service reminders only from the approved point; retain unresolved exit actions.</w:t>
      </w:r>
    </w:p>
    <w:p>
      <w:pPr>
        <w:pStyle w:val="Heading2"/>
      </w:pPr>
      <w:r>
        <w:t>Strike off</w:t>
      </w:r>
    </w:p>
    <w:p>
      <w:pPr>
        <w:spacing w:after="140"/>
      </w:pPr>
      <w:r>
        <w:rPr>
          <w:b/>
        </w:rPr>
        <w:t xml:space="preserve">1  Executive  </w:t>
      </w:r>
      <w:r>
        <w:t>Create a cessation case and collect the company’s instruction and supporting information. Show current officers, outstanding obligations, charges and any unresolved matters for the reviewer’s assessment.</w:t>
      </w:r>
    </w:p>
    <w:p>
      <w:pPr>
        <w:spacing w:after="140"/>
      </w:pPr>
      <w:r>
        <w:rPr>
          <w:b/>
        </w:rPr>
        <w:t xml:space="preserve">2  Reviewer  </w:t>
      </w:r>
      <w:r>
        <w:t>Assess eligibility against current SSM guidance and approve the required checklist and declarations [12]. Record matters that must be resolved first. The software cannot infer eligibility solely because the company has no activity recorded.</w:t>
      </w:r>
    </w:p>
    <w:p>
      <w:pPr>
        <w:spacing w:after="140"/>
      </w:pPr>
      <w:r>
        <w:rPr>
          <w:b/>
        </w:rPr>
        <w:t xml:space="preserve">3  Executive and lodger  </w:t>
      </w:r>
      <w:r>
        <w:t>Track the application, supporting documents, submission evidence, regulatory notices, objections, queries and outcomes. Monitor applicable milestones until a final outcome is evidenced.</w:t>
      </w:r>
    </w:p>
    <w:p>
      <w:pPr>
        <w:spacing w:after="140"/>
      </w:pPr>
      <w:r>
        <w:rPr>
          <w:b/>
        </w:rPr>
        <w:t xml:space="preserve">4  Reviewer  </w:t>
      </w:r>
      <w:r>
        <w:t>Record the confirmed legal status and date. Reassess each continuing obligation individually until that status is established. An application alone does not mark the company dissolved or cancel all deadlines.</w:t>
      </w:r>
    </w:p>
    <w:p>
      <w:pPr>
        <w:pStyle w:val="Heading2"/>
      </w:pPr>
      <w:r>
        <w:t>Winding up and other cessation routes</w:t>
      </w:r>
    </w:p>
    <w:p>
      <w:r>
        <w:t>Open a controlled specialist case when liquidation, restoration or another legal route applies. Record the responsible external professional, appointments, notices, resolutions, filings, orders and final outcome. Support authorised changes to company status and responsibilities with source evidence. The product coordinates the secretarial file; it does not act as the liquidator or replace court or regulatory processes.</w:t>
      </w:r>
    </w:p>
    <w:p>
      <w:pPr>
        <w:pStyle w:val="Heading2"/>
      </w:pPr>
      <w:r>
        <w:t>Intended behaviour</w:t>
      </w:r>
    </w:p>
    <w:p>
      <w:r>
        <w:t>Service status and legal company status are separate. A company can remain active after leaving the firm, or remain a client while a cessation application is pending. Rejected, withdrawn or interrupted cases preserve their history and outstanding actions. Staff may reopen an archived file through a logged authorisation rather than recreating it.</w:t>
      </w:r>
    </w:p>
    <w:p>
      <w:r>
        <w:br w:type="page"/>
      </w:r>
    </w:p>
    <w:p>
      <w:pPr>
        <w:pStyle w:val="Heading1"/>
      </w:pPr>
      <w:r>
        <w:t>W11 Registers and document custody</w:t>
      </w:r>
    </w:p>
    <w:p>
      <w:pPr>
        <w:pStyle w:val="Heading2"/>
      </w:pPr>
      <w:r>
        <w:t>Company file and statutory records</w:t>
      </w:r>
    </w:p>
    <w:p>
      <w:r>
        <w:t>Each company file presents current particulars, a historical view at a chosen date, registers, appointments, ownership, decisions, filings, obligations and service jobs. A member register, BO register, officer records and charge records have distinct content and access rules. Track the location and custodian of originals and any required physical books. An electronic copy must not imply that an original was received or a statutory custody obligation was satisfied.</w:t>
      </w:r>
    </w:p>
    <w:p>
      <w:pPr>
        <w:spacing w:after="140"/>
      </w:pPr>
      <w:r>
        <w:rPr>
          <w:b/>
        </w:rPr>
        <w:t xml:space="preserve">1  Executive  </w:t>
      </w:r>
      <w:r>
        <w:t>Enter or import the opening record and attach its source. Record verification status, effective dates and any missing historical material. Refer conflicting opening balances or appointments to the reviewer.</w:t>
      </w:r>
    </w:p>
    <w:p>
      <w:pPr>
        <w:spacing w:after="140"/>
      </w:pPr>
      <w:r>
        <w:rPr>
          <w:b/>
        </w:rPr>
        <w:t xml:space="preserve">2  Reviewer  </w:t>
      </w:r>
      <w:r>
        <w:t>Approve material opening records and later corporate changes through their event jobs. Routine corrections use a correction reason and audit history; a correction to an actual corporate event requires the appropriate reviewed route.</w:t>
      </w:r>
    </w:p>
    <w:p>
      <w:pPr>
        <w:spacing w:after="140"/>
      </w:pPr>
      <w:r>
        <w:rPr>
          <w:b/>
        </w:rPr>
        <w:t xml:space="preserve">3  Executive  </w:t>
      </w:r>
      <w:r>
        <w:t>Generate the selected register or company profile for a current or historical date. Mark the output date and selected effective date. Show unresolved gaps and prevent a draft report from being labelled a certified record.</w:t>
      </w:r>
    </w:p>
    <w:p>
      <w:pPr>
        <w:spacing w:after="140"/>
      </w:pPr>
      <w:r>
        <w:rPr>
          <w:b/>
        </w:rPr>
        <w:t xml:space="preserve">4  Custodian  </w:t>
      </w:r>
      <w:r>
        <w:t>Log the receipt, location, movement and return of originals, seals and certificates. Link custody events to the company, responsible staff and receiving party. Do not erase an original’s location when a scan is uploaded.</w:t>
      </w:r>
    </w:p>
    <w:p>
      <w:pPr>
        <w:pStyle w:val="Heading2"/>
      </w:pPr>
      <w:r>
        <w:t>Certified copies inspections and disclosures</w:t>
      </w:r>
    </w:p>
    <w:p>
      <w:pPr>
        <w:spacing w:after="140"/>
      </w:pPr>
      <w:r>
        <w:rPr>
          <w:b/>
        </w:rPr>
        <w:t xml:space="preserve">1  Executive  </w:t>
      </w:r>
      <w:r>
        <w:t>Open a request recording the requester, authority claimed, requested documents or register, purpose and response deadline. A request received by email or phone is entered by staff.</w:t>
      </w:r>
    </w:p>
    <w:p>
      <w:pPr>
        <w:spacing w:after="140"/>
      </w:pPr>
      <w:r>
        <w:rPr>
          <w:b/>
        </w:rPr>
        <w:t xml:space="preserve">2  Reviewer  </w:t>
      </w:r>
      <w:r>
        <w:t>Verify entitlement, permitted scope and any restrictions. Approve, limit or refuse access with reasons. Apply separate BO and restricted compliance disclosure controls; ordinary membership does not provide unrestricted access to every company document.</w:t>
      </w:r>
    </w:p>
    <w:p>
      <w:pPr>
        <w:spacing w:after="140"/>
      </w:pPr>
      <w:r>
        <w:rPr>
          <w:b/>
        </w:rPr>
        <w:t xml:space="preserve">3  Executive and authorised certifier  </w:t>
      </w:r>
      <w:r>
        <w:t>Prepare the selected copy or extract, record certification by the authorised person where applicable and retain exactly what was released. Log date, recipient, delivery method and any fee.</w:t>
      </w:r>
    </w:p>
    <w:p>
      <w:pPr>
        <w:pStyle w:val="Heading2"/>
      </w:pPr>
      <w:r>
        <w:t>Correspondence and registered office mail</w:t>
      </w:r>
    </w:p>
    <w:p>
      <w:r>
        <w:t>Log incoming notices and mail with company, sender, receipt date, image or document, responsible staff and required response. Create a job or deadline when action is required; track forwarding and receipt outside the software. Record dispatch of notices, documents and originals in the same way. General correspondence remains linked to the relevant company and case.</w:t>
      </w:r>
    </w:p>
    <w:p>
      <w:pPr>
        <w:pStyle w:val="Heading2"/>
      </w:pPr>
      <w:r>
        <w:t>Intended behaviour</w:t>
      </w:r>
    </w:p>
    <w:p>
      <w:r>
        <w:t>Documents can be linked to several relevant jobs without creating inconsistent final copies. Search by company number, name, person, event, period or document type. Restrict personal identity documents, BO evidence and compliance case material by role. Preserve versions, access and release records, and support an authorised complete handover pack with appropriate exclusions.</w:t>
      </w:r>
    </w:p>
    <w:p>
      <w:r>
        <w:br w:type="page"/>
      </w:r>
    </w:p>
    <w:p>
      <w:pPr>
        <w:pStyle w:val="Heading1"/>
      </w:pPr>
      <w:r>
        <w:t>W12 Firm compliance and service operations</w:t>
      </w:r>
    </w:p>
    <w:p>
      <w:pPr>
        <w:pStyle w:val="Heading2"/>
      </w:pPr>
      <w:r>
        <w:t>Due diligence and ongoing reviews</w:t>
      </w:r>
    </w:p>
    <w:p>
      <w:pPr>
        <w:spacing w:after="140"/>
      </w:pPr>
      <w:r>
        <w:rPr>
          <w:b/>
        </w:rPr>
        <w:t xml:space="preserve">1  Executive  </w:t>
      </w:r>
      <w:r>
        <w:t>Collect identity, authority, ownership and service purpose information during W01 or a material change. Create follow up tasks for missing or expiring evidence. Record source documents and review dates.</w:t>
      </w:r>
    </w:p>
    <w:p>
      <w:pPr>
        <w:spacing w:after="140"/>
      </w:pPr>
      <w:r>
        <w:rPr>
          <w:b/>
        </w:rPr>
        <w:t xml:space="preserve">2  Compliance reviewer  </w:t>
      </w:r>
      <w:r>
        <w:t>Apply the firm’s approved risk assessment and applicable CDD or enhanced CDD procedures. Record the evidence, risk rating, acceptance decision, conditions and next review. Record external screening results where performed; built in screening is not required.</w:t>
      </w:r>
    </w:p>
    <w:p>
      <w:pPr>
        <w:spacing w:after="140"/>
      </w:pPr>
      <w:r>
        <w:rPr>
          <w:b/>
        </w:rPr>
        <w:t xml:space="preserve">3  System and executive  </w:t>
      </w:r>
      <w:r>
        <w:t>Create periodic review tasks and event triggered reassessments, including relevant changes of ownership, control or service. Track nonresponses and unresolved findings against an owner.</w:t>
      </w:r>
    </w:p>
    <w:p>
      <w:pPr>
        <w:spacing w:after="140"/>
      </w:pPr>
      <w:r>
        <w:rPr>
          <w:b/>
        </w:rPr>
        <w:t xml:space="preserve">4  Restricted compliance staff  </w:t>
      </w:r>
      <w:r>
        <w:t>Assess escalations in a separately restricted case. Record any required external report and evidence through the approved process. Exclude restricted reporting details from ordinary job comments, correspondence drafts, general exports and handover packs.</w:t>
      </w:r>
    </w:p>
    <w:p>
      <w:r>
        <w:t>SSM’s AMLA guidance addresses risk assessment, customer due diligence, ongoing review and related controls [13]. The compliance officer validates applicable obligations and retention arrangements. The system must support recording and restricted handling without promising that a completed form alone establishes compliance.</w:t>
      </w:r>
    </w:p>
    <w:p>
      <w:pPr>
        <w:pStyle w:val="Heading2"/>
      </w:pPr>
      <w:r>
        <w:t>Secretary credentials and firm controls</w:t>
      </w:r>
    </w:p>
    <w:p>
      <w:r>
        <w:t>Maintain assigned secretary particulars, practising certificate details, expiry, renewal tasks and supporting professional education records. Flag potential credential issues to the manager and reviewer. Record the firm’s response and any reassignment; expiry must not silently change legal appointments. SSM’s e-Secretary service includes practising certificate registration and renewal [14].</w:t>
      </w:r>
    </w:p>
    <w:p>
      <w:pPr>
        <w:pStyle w:val="Heading2"/>
      </w:pPr>
      <w:r>
        <w:t>Daily work and management workflow</w:t>
      </w:r>
    </w:p>
    <w:p>
      <w:pPr>
        <w:spacing w:after="140"/>
      </w:pPr>
      <w:r>
        <w:rPr>
          <w:b/>
        </w:rPr>
        <w:t xml:space="preserve">1  Executive  </w:t>
      </w:r>
      <w:r>
        <w:t>Start with My Work: jobs due soon, overdue, waiting on a third party, returned for correction and ready for filing. Open the job to see its next action, document pack and dependencies.</w:t>
      </w:r>
    </w:p>
    <w:p>
      <w:pPr>
        <w:spacing w:after="140"/>
      </w:pPr>
      <w:r>
        <w:rPr>
          <w:b/>
        </w:rPr>
        <w:t xml:space="preserve">2  Reviewer  </w:t>
      </w:r>
      <w:r>
        <w:t>Use an approval queue showing the company, event, proposed record changes, supporting evidence and unresolved warnings. Approve the identified version or return it with comments. Do not approve an entire company file to clear unrelated jobs.</w:t>
      </w:r>
    </w:p>
    <w:p>
      <w:pPr>
        <w:spacing w:after="140"/>
      </w:pPr>
      <w:r>
        <w:rPr>
          <w:b/>
        </w:rPr>
        <w:t xml:space="preserve">3  Manager  </w:t>
      </w:r>
      <w:r>
        <w:t>Review the portfolio for work without owners, overdue filings, stalled requests, workload and missing evidence. Reassign work with a reason and keep the prior owner history. Each blocked item shows what is needed and who will act next.</w:t>
      </w:r>
    </w:p>
    <w:p>
      <w:pPr>
        <w:spacing w:after="140"/>
      </w:pPr>
      <w:r>
        <w:rPr>
          <w:b/>
        </w:rPr>
        <w:t xml:space="preserve">4  Executive and billing staff  </w:t>
      </w:r>
      <w:r>
        <w:t>Record service fee, disbursements, payment evidence and billing reference. Flag completed chargeable work as ready to bill. Keep billing status independent: an unbilled job may be operationally complete, and a paid job may still have a filing outstanding.</w:t>
      </w:r>
    </w:p>
    <w:p>
      <w:pPr>
        <w:pStyle w:val="Heading2"/>
      </w:pPr>
      <w:r>
        <w:t>Intended behaviour</w:t>
      </w:r>
    </w:p>
    <w:p>
      <w:r>
        <w:t>Reminders are internal. Staff send and record client chasers through existing channels. A lack of client response does not pause statutory deadlines. A task marked not applicable needs the reviewer’s reason; statutory jobs cannot disappear by deleting a calendar item. Daily and portfolio reports must agree with the underlying jobs and evidence.</w:t>
      </w:r>
    </w:p>
    <w:p>
      <w:r>
        <w:br w:type="page"/>
      </w:r>
    </w:p>
    <w:p>
      <w:pPr>
        <w:pStyle w:val="Heading1"/>
      </w:pPr>
      <w:r>
        <w:t>Cross workflow product rules</w:t>
      </w:r>
    </w:p>
    <w:p>
      <w:pPr>
        <w:pStyle w:val="Heading2"/>
      </w:pPr>
      <w:r>
        <w:t>Information that must be available</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Record</w:t>
            </w:r>
          </w:p>
        </w:tc>
        <w:tc>
          <w:tcPr>
            <w:tcW w:type="dxa" w:w="8136"/>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Minimum functional information</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Company</w:t>
            </w:r>
          </w:p>
        </w:tc>
        <w:tc>
          <w:tcPr>
            <w:tcW w:type="dxa" w:w="81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Identity and status; incorporation and financial period dates; addresses and activities; constitution; officers; members; BO; charges; service responsibility.</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Person or organisation</w:t>
            </w:r>
          </w:p>
        </w:tc>
        <w:tc>
          <w:tcPr>
            <w:tcW w:type="dxa" w:w="81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Identity and relevant particulars, contact details, verification evidence, role relationships and dated changes. Corporate members and individuals remain distinct.</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Job or case</w:t>
            </w:r>
          </w:p>
        </w:tc>
        <w:tc>
          <w:tcPr>
            <w:tcW w:type="dxa" w:w="81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Instruction or statutory trigger, scope, owner, reviewer, checklists, dates, dependencies, correspondence, decisions, documents, filings and completion evidence.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Obligation</w:t>
            </w:r>
          </w:p>
        </w:tc>
        <w:tc>
          <w:tcPr>
            <w:tcW w:type="dxa" w:w="81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Applicable company and period, trigger, statutory deadline, internal target, source rule and version, responsible staff, reminders, outcome and approved exceptions.</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Document or filing</w:t>
            </w:r>
          </w:p>
        </w:tc>
        <w:tc>
          <w:tcPr>
            <w:tcW w:type="dxa" w:w="81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Type, company, related case, period, version, approval, signatures, submitted output, reference, payment evidence, query and outcome history.</w:t>
            </w:r>
          </w:p>
        </w:tc>
      </w:tr>
    </w:tbl>
    <w:p/>
    <w:p>
      <w:pPr>
        <w:pStyle w:val="Heading2"/>
      </w:pPr>
      <w:r>
        <w:t>Deadlines applicability and changes to rules</w:t>
      </w:r>
    </w:p>
    <w:p>
      <w:r>
        <w:t>The reviewer approves the obligation catalogue and applicability for each company. Each rule records its source, effective date, event or period trigger and calculation basis. Staff must be able to explain a displayed deadline. Use statutory and internal dates separately; permitted manual adjustments require a reason, reviewer and source evidence. Applying a new rule creates a preview of affected open work and preserves prior completed periods.</w:t>
      </w:r>
    </w:p>
    <w:p>
      <w:pPr>
        <w:pStyle w:val="Heading2"/>
      </w:pPr>
      <w:r>
        <w:t>Approvals and completion</w:t>
      </w:r>
    </w:p>
    <w:p>
      <w:r>
        <w:t>Completion requires the activity’s mandatory evidence, review and all applicable tasks resolved. Not applicable entries require reasons. Regulatory outcomes are recorded as the available channel expresses them, such as registered, accepted, acknowledged or rejected; do not invent an approval where only a receipt exists. Partial completion remains visible. A cancelled job retains any already effective events and incurred obligations.</w:t>
      </w:r>
    </w:p>
    <w:p>
      <w:pPr>
        <w:pStyle w:val="Heading2"/>
      </w:pPr>
      <w:r>
        <w:t>Concurrent and historical work</w:t>
      </w:r>
    </w:p>
    <w:p>
      <w:r>
        <w:t>Warn when open jobs affect the same person, shareholding, address or filing period. Staff must resolve incompatible changes before posting. Preserve when a fact was effective and when staff recorded it. If a backdated correction affects a prior return or document, create a review task for those consequences rather than silently rewriting the filed history.</w:t>
      </w:r>
    </w:p>
    <w:p>
      <w:pPr>
        <w:pStyle w:val="Heading2"/>
      </w:pPr>
      <w:r>
        <w:t>Access retention and continuity</w:t>
      </w:r>
    </w:p>
    <w:p>
      <w:r>
        <w:t>Access is limited to internal roles and assigned companies, with additional restrictions on sensitive records. Material changes and approvals identify the staff member and time. The team must be able to recover a company file, export its records and documents, and continue work after absence or reassignment. Retention, legal holds and authorised disposal follow approved policies for each record category; archival is not deletion.</w:t>
      </w:r>
    </w:p>
    <w:p>
      <w:r>
        <w:br w:type="page"/>
      </w:r>
    </w:p>
    <w:p>
      <w:pPr>
        <w:pStyle w:val="Heading1"/>
      </w:pPr>
      <w:r>
        <w:t>Acceptance scenarios and scope decisions</w:t>
      </w:r>
    </w:p>
    <w:p>
      <w:r>
        <w:t>Use these business scenarios to assess the first release with the team. They describe observable outcomes without prescribing architecture or implementation.</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Scenario</w:t>
            </w:r>
          </w:p>
        </w:tc>
        <w:tc>
          <w:tcPr>
            <w:tcW w:type="dxa" w:w="7056"/>
            <w:vAlign w:val="center"/>
            <w:shd w:fill="1939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color w:val="FFFFFF"/>
                <w:sz w:val="20"/>
              </w:rPr>
              <w:t>Expected behaviour</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Takeover with missing history</w:t>
            </w:r>
          </w:p>
        </w:tc>
        <w:tc>
          <w:tcPr>
            <w:tcW w:type="dxa" w:w="705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Opening records show verified and unverified items; inherited late work has owners and dates; activation does not imply a complete historical file.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Director change near anniversary</w:t>
            </w:r>
          </w:p>
        </w:tc>
        <w:tc>
          <w:tcPr>
            <w:tcW w:type="dxa" w:w="70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W03 uses the correct anniversary position; W04 preserves effective and filing dates; the reviewer sees sequencing dependencies.</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One person in three companies</w:t>
            </w:r>
          </w:p>
        </w:tc>
        <w:tc>
          <w:tcPr>
            <w:tcW w:type="dxa" w:w="705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 particulars change identifies all affected company roles; each required notification keeps its own completion evidence.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Transfer and allotment</w:t>
            </w:r>
          </w:p>
        </w:tc>
        <w:tc>
          <w:tcPr>
            <w:tcW w:type="dxa" w:w="70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Transfer conserves issued units; allotment increases them. Each transaction reconciles class and member totals and prompts relevant BO review.</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BO nonresponse</w:t>
            </w:r>
          </w:p>
        </w:tc>
        <w:tc>
          <w:tcPr>
            <w:tcW w:type="dxa" w:w="705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Notices and chasers remain visible; the matter escalates without falsely confirming ownership or clearing the annual verification task.</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Partly signed resolution</w:t>
            </w:r>
          </w:p>
        </w:tc>
        <w:tc>
          <w:tcPr>
            <w:tcW w:type="dxa" w:w="70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The document stays partly signed; implementation cannot proceed merely because one signed page was uploaded.</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Rejected or queried filing</w:t>
            </w:r>
          </w:p>
        </w:tc>
        <w:tc>
          <w:tcPr>
            <w:tcW w:type="dxa" w:w="705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The task remains unresolved, records a response deadline and preserves every submission and external message.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Extension request pending</w:t>
            </w:r>
          </w:p>
        </w:tc>
        <w:tc>
          <w:tcPr>
            <w:tcW w:type="dxa" w:w="70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The original deadline remains operative until the approved revised deadline and authority response are recorded.</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Correction after filing</w:t>
            </w:r>
          </w:p>
        </w:tc>
        <w:tc>
          <w:tcPr>
            <w:tcW w:type="dxa" w:w="705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A linked rectification or review case is created; the original submission and prior record stay available.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Service exit or strike off</w:t>
            </w:r>
          </w:p>
        </w:tc>
        <w:tc>
          <w:tcPr>
            <w:tcW w:type="dxa" w:w="70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Engagement status and legal company status remain separate; pending applications do not erase appointments or obligations.</w:t>
            </w:r>
          </w:p>
        </w:tc>
      </w:tr>
      <w:tr>
        <w:trPr>
          <w:cantSplit/>
        </w:trPr>
        <w:tc>
          <w:tcPr>
            <w:tcW w:type="dxa" w:w="302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Restricted information request</w:t>
            </w:r>
          </w:p>
        </w:tc>
        <w:tc>
          <w:tcPr>
            <w:tcW w:type="dxa" w:w="705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Staff release only the approved documents and record authority, scope, recipient and evidence of disclosure.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Billing after completion</w:t>
            </w:r>
          </w:p>
        </w:tc>
        <w:tc>
          <w:tcPr>
            <w:tcW w:type="dxa" w:w="705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sz w:val="20"/>
              </w:rPr>
              <w:t>Ready to bill status appears independently of job and filing completion; invoicing does not clear unfinished statutory work.</w:t>
            </w:r>
          </w:p>
        </w:tc>
      </w:tr>
    </w:tbl>
    <w:p/>
    <w:p>
      <w:pPr>
        <w:pStyle w:val="Heading2"/>
      </w:pPr>
      <w:r>
        <w:t>Decisions required before live use</w:t>
      </w:r>
    </w:p>
    <w:p>
      <w:r>
        <w:t>Confirm the entity types and services actually undertaken; approve each document pack, deadline rule, legal route, record posting point and self approval policy. Validate the current SSM filing channels and transition requirements. Review one real example of each activity the firm performs, including an exception case. Use this document as the functional baseline for that review, then address architecture separately.</w:t>
      </w:r>
    </w:p>
    <w:p>
      <w:r>
        <w:t>The first release covers internal preparation, records, supervision and evidence capture. Regulatory submissions, stamping, signatures and specialist professional work may occur outside the application and must be tracked to completion within it. No direct portal integration is assumed.</w:t>
      </w:r>
    </w:p>
    <w:p>
      <w:r>
        <w:br w:type="page"/>
      </w:r>
    </w:p>
    <w:p>
      <w:pPr>
        <w:pStyle w:val="Heading1"/>
      </w:pPr>
      <w:r>
        <w:t>Research sources and validation basis</w:t>
      </w:r>
    </w:p>
    <w:p>
      <w:r>
        <w:t>Sources checked 21 October 2026. The workflows are proposed product behaviour for professional validation. Legal applicability, document content and deadlines must be confirmed against the rules in force for the particular event and company. The August 2026 revisions below take precedence over older product descriptions or generic portal guidance.</w:t>
      </w:r>
    </w:p>
    <w:p>
      <w:pPr>
        <w:spacing w:after="200"/>
      </w:pPr>
      <w:r>
        <w:t xml:space="preserve">1  </w:t>
      </w:r>
      <w:hyperlink r:id="rId11">
        <w:r>
          <w:rPr>
            <w:color w:val="19394D"/>
          </w:rPr>
          <w:t>SSM Companies Act 2016 framework and document schedules</w:t>
        </w:r>
      </w:hyperlink>
    </w:p>
    <w:p>
      <w:pPr>
        <w:spacing w:after="200"/>
      </w:pPr>
      <w:r>
        <w:t xml:space="preserve">2  </w:t>
      </w:r>
      <w:hyperlink r:id="rId12">
        <w:r>
          <w:rPr>
            <w:color w:val="19394D"/>
          </w:rPr>
          <w:t>SSM Pathway for Beginners company secretarial practice curriculum</w:t>
        </w:r>
      </w:hyperlink>
    </w:p>
    <w:p>
      <w:pPr>
        <w:spacing w:after="200"/>
      </w:pPr>
      <w:r>
        <w:t xml:space="preserve">3  </w:t>
      </w:r>
      <w:hyperlink r:id="rId13">
        <w:r>
          <w:rPr>
            <w:color w:val="19394D"/>
          </w:rPr>
          <w:t>PD 5 2018 revised 5 August 2026 annual return and changes</w:t>
        </w:r>
      </w:hyperlink>
    </w:p>
    <w:p>
      <w:pPr>
        <w:spacing w:after="200"/>
      </w:pPr>
      <w:r>
        <w:t xml:space="preserve">4  </w:t>
      </w:r>
      <w:hyperlink r:id="rId14">
        <w:r>
          <w:rPr>
            <w:color w:val="19394D"/>
          </w:rPr>
          <w:t>PD 7 2021 revised 5 August 2026 BO annual return annexure</w:t>
        </w:r>
      </w:hyperlink>
    </w:p>
    <w:p>
      <w:pPr>
        <w:spacing w:after="200"/>
      </w:pPr>
      <w:r>
        <w:t xml:space="preserve">5  </w:t>
      </w:r>
      <w:hyperlink r:id="rId15">
        <w:r>
          <w:rPr>
            <w:color w:val="19394D"/>
          </w:rPr>
          <w:t>PN 9 2024 director appointment and removal notifications</w:t>
        </w:r>
      </w:hyperlink>
    </w:p>
    <w:p>
      <w:pPr>
        <w:spacing w:after="200"/>
      </w:pPr>
      <w:r>
        <w:t xml:space="preserve">6  </w:t>
      </w:r>
      <w:hyperlink r:id="rId16">
        <w:r>
          <w:rPr>
            <w:color w:val="19394D"/>
          </w:rPr>
          <w:t>SSM section 105 instrument of transfer</w:t>
        </w:r>
      </w:hyperlink>
    </w:p>
    <w:p>
      <w:pPr>
        <w:spacing w:after="200"/>
      </w:pPr>
      <w:r>
        <w:t xml:space="preserve">7  </w:t>
      </w:r>
      <w:hyperlink r:id="rId17">
        <w:r>
          <w:rPr>
            <w:color w:val="19394D"/>
          </w:rPr>
          <w:t>PD 11 2026 revised 5 August 2026 shares and shareholders</w:t>
        </w:r>
      </w:hyperlink>
    </w:p>
    <w:p>
      <w:pPr>
        <w:spacing w:after="200"/>
      </w:pPr>
      <w:r>
        <w:t xml:space="preserve">8  </w:t>
      </w:r>
      <w:hyperlink r:id="rId18">
        <w:r>
          <w:rPr>
            <w:color w:val="19394D"/>
          </w:rPr>
          <w:t>SSM BO reporting guidelines revised 2025</w:t>
        </w:r>
      </w:hyperlink>
    </w:p>
    <w:p>
      <w:pPr>
        <w:spacing w:after="200"/>
      </w:pPr>
      <w:r>
        <w:t xml:space="preserve">9  </w:t>
      </w:r>
      <w:hyperlink r:id="rId11">
        <w:r>
          <w:rPr>
            <w:color w:val="19394D"/>
          </w:rPr>
          <w:t>PD 9 2024 e BOS and applicable BO access regulations</w:t>
        </w:r>
      </w:hyperlink>
    </w:p>
    <w:p>
      <w:pPr>
        <w:spacing w:after="200"/>
      </w:pPr>
      <w:r>
        <w:t xml:space="preserve">10  </w:t>
      </w:r>
      <w:hyperlink r:id="rId19">
        <w:r>
          <w:rPr>
            <w:color w:val="19394D"/>
          </w:rPr>
          <w:t>SSM Audit Exemption PD 10 2024 and FAQs</w:t>
        </w:r>
      </w:hyperlink>
    </w:p>
    <w:p>
      <w:pPr>
        <w:spacing w:after="200"/>
      </w:pPr>
      <w:r>
        <w:t xml:space="preserve">11  </w:t>
      </w:r>
      <w:hyperlink r:id="rId20">
        <w:r>
          <w:rPr>
            <w:color w:val="19394D"/>
          </w:rPr>
          <w:t>SSM Annual Submission</w:t>
        </w:r>
      </w:hyperlink>
    </w:p>
    <w:p>
      <w:pPr>
        <w:spacing w:after="200"/>
      </w:pPr>
      <w:r>
        <w:t xml:space="preserve">12  </w:t>
      </w:r>
      <w:hyperlink r:id="rId21">
        <w:r>
          <w:rPr>
            <w:color w:val="19394D"/>
          </w:rPr>
          <w:t>SSM strike off guidance revised July 2026</w:t>
        </w:r>
      </w:hyperlink>
    </w:p>
    <w:p>
      <w:pPr>
        <w:spacing w:after="200"/>
      </w:pPr>
      <w:r>
        <w:t xml:space="preserve">13  </w:t>
      </w:r>
      <w:hyperlink r:id="rId22">
        <w:r>
          <w:rPr>
            <w:color w:val="19394D"/>
          </w:rPr>
          <w:t>SSM obligations of company secretary as reporting institution under AMLA</w:t>
        </w:r>
      </w:hyperlink>
    </w:p>
    <w:p>
      <w:pPr>
        <w:spacing w:after="200"/>
      </w:pPr>
      <w:r>
        <w:t xml:space="preserve">14  </w:t>
      </w:r>
      <w:hyperlink r:id="rId23">
        <w:r>
          <w:rPr>
            <w:color w:val="19394D"/>
          </w:rPr>
          <w:t>SSM e Secretary practising certificate registration and renewal</w:t>
        </w:r>
      </w:hyperlink>
    </w:p>
    <w:p>
      <w:r>
        <w:t xml:space="preserve">Source 1 is the index for current legislation, amendments, practice notes, directives and forms. The final template and obligation catalogue should retain the exact approved source and version for each workflow. </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ssm.com.my/Pages/Legal_Framework/Companies-Act-2016.aspx" TargetMode="External"/><Relationship Id="rId12" Type="http://schemas.openxmlformats.org/officeDocument/2006/relationships/hyperlink" Target="https://www.ssm.com.my/Pages/Training_Academy/Training_Calendar-and_Brochure/2025/PATHWAY%20FOR%20BEGINNERS%20SERIES%20ON%20COMPANY%20LAW%20AND%20COMPANY%20SECRETARIAL%20PRACTICE.pdf" TargetMode="External"/><Relationship Id="rId13" Type="http://schemas.openxmlformats.org/officeDocument/2006/relationships/hyperlink" Target="https://www.ssm.com.my/Pages/Legal_Framework/Document/PD5_2018_Changes%20that%20can%20be%20made%20in%20Annual%20Return_r1.pdf" TargetMode="External"/><Relationship Id="rId14" Type="http://schemas.openxmlformats.org/officeDocument/2006/relationships/hyperlink" Target="https://www.ssm.com.my/Pages/Legal_Framework/Document/Practice%20Directive%207_2021%20(Revised)%205%20August%202026.pdf" TargetMode="External"/><Relationship Id="rId15" Type="http://schemas.openxmlformats.org/officeDocument/2006/relationships/hyperlink" Target="https://www.ssm.com.my/Pages/Legal_Framework/Document/_PN9_2024%20PN16-2013revoked_311224.pdf" TargetMode="External"/><Relationship Id="rId16" Type="http://schemas.openxmlformats.org/officeDocument/2006/relationships/hyperlink" Target="https://www.ssm.com.my/Pages/Legal_Framework/PDF%20Tab%202/section_105-_form_of_transfer_of_securities_130317.pdf" TargetMode="External"/><Relationship Id="rId17" Type="http://schemas.openxmlformats.org/officeDocument/2006/relationships/hyperlink" Target="https://www.ssm.com.my/Pages/Legal_Framework/Document/New%20PD%2011%202026%2031072026%20-%20updated%2005.08.2026.pdf" TargetMode="External"/><Relationship Id="rId18" Type="http://schemas.openxmlformats.org/officeDocument/2006/relationships/hyperlink" Target="https://www.ssm.com.my/Pages/Legal_Framework/Document/Guideline%20BO%20(Revised)%202025%20fair.pdf" TargetMode="External"/><Relationship Id="rId19" Type="http://schemas.openxmlformats.org/officeDocument/2006/relationships/hyperlink" Target="https://www.ssm.com.my/Pages/Legal_Framework/Audit-Exemption.aspx" TargetMode="External"/><Relationship Id="rId20" Type="http://schemas.openxmlformats.org/officeDocument/2006/relationships/hyperlink" Target="https://www.ssm.com.my/Pages/Register_Business_Company_LLP/Company/Annual-Submission.aspx" TargetMode="External"/><Relationship Id="rId21" Type="http://schemas.openxmlformats.org/officeDocument/2006/relationships/hyperlink" Target="https://www.ssm.com.my/Pages/Legal_Framework/Document/Guidelines%20Section%20549(a)_140726.pdf" TargetMode="External"/><Relationship Id="rId22" Type="http://schemas.openxmlformats.org/officeDocument/2006/relationships/hyperlink" Target="https://www.ssm.com.my/Pages/Legal_Framework/Document/Guidelines%20Relating%20to%20the%20Obligations%20of%20Company%20Secretary%20as%20a%20Reporting%20Institution%20under%20AMLA%202001.pdf" TargetMode="External"/><Relationship Id="rId23" Type="http://schemas.openxmlformats.org/officeDocument/2006/relationships/hyperlink" Target="https://www.ssm.com.my/Pages/eSecretary.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Malaysian Company Secretarial Software Product Requirements</dc:title>
  <dc:subject>Internal operational workflows and intended behaviour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