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4"/>
      </w:pPr>
      <w:r>
        <w:rPr>
          <w:rFonts w:ascii="Arial" w:cs="Arial" w:eastAsia="Arial" w:hAnsi="Arial"/>
          <w:b/>
          <w:bCs/>
          <w:i w:val="false"/>
          <w:iCs w:val="false"/>
          <w:sz w:val="20"/>
          <w:szCs w:val="20"/>
        </w:rPr>
        <w:t xml:space="preserve">201701026533 (1240699-V)</w:t>
      </w:r>
    </w:p>
    <w:p>
      <w:pPr>
        <w:spacing w:after="0" w:before="0" w:line="264"/>
      </w:pPr>
      <w:r>
        <w:rPr>
          <w:rFonts w:ascii="Arial" w:cs="Arial" w:eastAsia="Arial" w:hAnsi="Arial"/>
          <w:b/>
          <w:bCs/>
          <w:i w:val="false"/>
          <w:iCs w:val="false"/>
          <w:sz w:val="20"/>
          <w:szCs w:val="20"/>
        </w:rPr>
        <w:t xml:space="preserve">Financial Industry Collective Outreach</w:t>
      </w:r>
    </w:p>
    <w:p>
      <w:pPr>
        <w:spacing w:after="300" w:before="0" w:line="264"/>
      </w:pPr>
      <w:r>
        <w:rPr>
          <w:rFonts w:ascii="Arial" w:cs="Arial" w:eastAsia="Arial" w:hAnsi="Arial"/>
          <w:b/>
          <w:bCs/>
          <w:i w:val="false"/>
          <w:iCs w:val="false"/>
          <w:sz w:val="20"/>
          <w:szCs w:val="20"/>
        </w:rPr>
        <w:t xml:space="preserve">(Incorporated in Malaysia)</w:t>
      </w:r>
    </w:p>
    <w:p>
      <w:pPr>
        <w:spacing w:after="240"/>
      </w:pPr>
      <w:r>
        <w:rPr>
          <w:rFonts w:ascii="Arial" w:cs="Arial" w:eastAsia="Arial" w:hAnsi="Arial"/>
          <w:b/>
          <w:bCs/>
          <w:i w:val="false"/>
          <w:iCs w:val="false"/>
          <w:sz w:val="28"/>
          <w:szCs w:val="28"/>
        </w:rPr>
        <w:t xml:space="preserve">Contents</w:t>
      </w:r>
    </w:p>
    <w:p>
      <w:pPr>
        <w:tabs>
          <w:tab w:val="right" w:pos="9360" w:leader="dot"/>
        </w:tabs>
        <w:spacing w:after="40" w:before="120" w:line="264"/>
      </w:pPr>
      <w:r>
        <w:rPr>
          <w:rFonts w:ascii="Arial" w:cs="Arial" w:eastAsia="Arial" w:hAnsi="Arial"/>
          <w:b/>
          <w:bCs/>
          <w:i w:val="false"/>
          <w:iCs w:val="false"/>
          <w:sz w:val="20"/>
          <w:szCs w:val="20"/>
        </w:rPr>
        <w:t xml:space="preserve">Statement of financial position</w:t>
      </w:r>
      <w:r>
        <w:rPr>
          <w:rFonts w:ascii="Arial" w:cs="Arial" w:eastAsia="Arial" w:hAnsi="Arial"/>
          <w:b/>
          <w:bCs/>
          <w:sz w:val="20"/>
          <w:szCs w:val="20"/>
        </w:rPr>
        <w:t xml:space="preserve">	2</w:t>
      </w:r>
    </w:p>
    <w:p>
      <w:pPr>
        <w:tabs>
          <w:tab w:val="right" w:pos="9360" w:leader="dot"/>
        </w:tabs>
        <w:spacing w:after="40" w:before="120" w:line="264"/>
      </w:pPr>
      <w:r>
        <w:rPr>
          <w:rFonts w:ascii="Arial" w:cs="Arial" w:eastAsia="Arial" w:hAnsi="Arial"/>
          <w:b/>
          <w:bCs/>
          <w:i w:val="false"/>
          <w:iCs w:val="false"/>
          <w:sz w:val="20"/>
          <w:szCs w:val="20"/>
        </w:rPr>
        <w:t xml:space="preserve">Statement of income and expenditure</w:t>
      </w:r>
      <w:r>
        <w:rPr>
          <w:rFonts w:ascii="Arial" w:cs="Arial" w:eastAsia="Arial" w:hAnsi="Arial"/>
          <w:b/>
          <w:bCs/>
          <w:sz w:val="20"/>
          <w:szCs w:val="20"/>
        </w:rPr>
        <w:t xml:space="preserve">	3</w:t>
      </w:r>
    </w:p>
    <w:p>
      <w:pPr>
        <w:tabs>
          <w:tab w:val="right" w:pos="9360" w:leader="dot"/>
        </w:tabs>
        <w:spacing w:after="40" w:before="120" w:line="264"/>
      </w:pPr>
      <w:r>
        <w:rPr>
          <w:rFonts w:ascii="Arial" w:cs="Arial" w:eastAsia="Arial" w:hAnsi="Arial"/>
          <w:b/>
          <w:bCs/>
          <w:i w:val="false"/>
          <w:iCs w:val="false"/>
          <w:sz w:val="20"/>
          <w:szCs w:val="20"/>
        </w:rPr>
        <w:t xml:space="preserve">Statement of changes in equity</w:t>
      </w:r>
      <w:r>
        <w:rPr>
          <w:rFonts w:ascii="Arial" w:cs="Arial" w:eastAsia="Arial" w:hAnsi="Arial"/>
          <w:b/>
          <w:bCs/>
          <w:sz w:val="20"/>
          <w:szCs w:val="20"/>
        </w:rPr>
        <w:t xml:space="preserve">	4</w:t>
      </w:r>
    </w:p>
    <w:p>
      <w:pPr>
        <w:tabs>
          <w:tab w:val="right" w:pos="9360" w:leader="dot"/>
        </w:tabs>
        <w:spacing w:after="40" w:before="120" w:line="264"/>
      </w:pPr>
      <w:r>
        <w:rPr>
          <w:rFonts w:ascii="Arial" w:cs="Arial" w:eastAsia="Arial" w:hAnsi="Arial"/>
          <w:b/>
          <w:bCs/>
          <w:i w:val="false"/>
          <w:iCs w:val="false"/>
          <w:sz w:val="20"/>
          <w:szCs w:val="20"/>
        </w:rPr>
        <w:t xml:space="preserve">Statement of cash flows</w:t>
      </w:r>
      <w:r>
        <w:rPr>
          <w:rFonts w:ascii="Arial" w:cs="Arial" w:eastAsia="Arial" w:hAnsi="Arial"/>
          <w:b/>
          <w:bCs/>
          <w:sz w:val="20"/>
          <w:szCs w:val="20"/>
        </w:rPr>
        <w:t xml:space="preserve">	5</w:t>
      </w:r>
    </w:p>
    <w:p>
      <w:pPr>
        <w:tabs>
          <w:tab w:val="right" w:pos="9360" w:leader="dot"/>
        </w:tabs>
        <w:spacing w:after="40" w:before="120" w:line="264"/>
      </w:pPr>
      <w:r>
        <w:rPr>
          <w:rFonts w:ascii="Arial" w:cs="Arial" w:eastAsia="Arial" w:hAnsi="Arial"/>
          <w:b/>
          <w:bCs/>
          <w:i w:val="false"/>
          <w:iCs w:val="false"/>
          <w:sz w:val="20"/>
          <w:szCs w:val="20"/>
        </w:rPr>
        <w:t xml:space="preserve">Notes to the financial statements</w:t>
      </w:r>
      <w:r>
        <w:rPr>
          <w:rFonts w:ascii="Arial" w:cs="Arial" w:eastAsia="Arial" w:hAnsi="Arial"/>
          <w:b/>
          <w:bCs/>
          <w:sz w:val="20"/>
          <w:szCs w:val="20"/>
        </w:rPr>
        <w:t xml:space="preserve">	6</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1.  Corporate information</w:t>
      </w:r>
      <w:r>
        <w:rPr>
          <w:rFonts w:ascii="Arial" w:cs="Arial" w:eastAsia="Arial" w:hAnsi="Arial"/>
          <w:b w:val="false"/>
          <w:bCs w:val="false"/>
          <w:sz w:val="20"/>
          <w:szCs w:val="20"/>
        </w:rPr>
        <w:t xml:space="preserve">	6</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2.  Significant accounting policies</w:t>
      </w:r>
      <w:r>
        <w:rPr>
          <w:rFonts w:ascii="Arial" w:cs="Arial" w:eastAsia="Arial" w:hAnsi="Arial"/>
          <w:b w:val="false"/>
          <w:bCs w:val="false"/>
          <w:sz w:val="20"/>
          <w:szCs w:val="20"/>
        </w:rPr>
        <w:t xml:space="preserve">	6</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3.  Right-of-use asset and lease liability</w:t>
      </w:r>
      <w:r>
        <w:rPr>
          <w:rFonts w:ascii="Arial" w:cs="Arial" w:eastAsia="Arial" w:hAnsi="Arial"/>
          <w:b w:val="false"/>
          <w:bCs w:val="false"/>
          <w:sz w:val="20"/>
          <w:szCs w:val="20"/>
        </w:rPr>
        <w:t xml:space="preserve">	13</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4.  Office equipment</w:t>
      </w:r>
      <w:r>
        <w:rPr>
          <w:rFonts w:ascii="Arial" w:cs="Arial" w:eastAsia="Arial" w:hAnsi="Arial"/>
          <w:b w:val="false"/>
          <w:bCs w:val="false"/>
          <w:sz w:val="20"/>
          <w:szCs w:val="20"/>
        </w:rPr>
        <w:t xml:space="preserve">	14</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5.  Receivables</w:t>
      </w:r>
      <w:r>
        <w:rPr>
          <w:rFonts w:ascii="Arial" w:cs="Arial" w:eastAsia="Arial" w:hAnsi="Arial"/>
          <w:b w:val="false"/>
          <w:bCs w:val="false"/>
          <w:sz w:val="20"/>
          <w:szCs w:val="20"/>
        </w:rPr>
        <w:t xml:space="preserve">	14</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6.  Cash and bank balances</w:t>
      </w:r>
      <w:r>
        <w:rPr>
          <w:rFonts w:ascii="Arial" w:cs="Arial" w:eastAsia="Arial" w:hAnsi="Arial"/>
          <w:b w:val="false"/>
          <w:bCs w:val="false"/>
          <w:sz w:val="20"/>
          <w:szCs w:val="20"/>
        </w:rPr>
        <w:t xml:space="preserve">	15</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7.  Deferred income</w:t>
      </w:r>
      <w:r>
        <w:rPr>
          <w:rFonts w:ascii="Arial" w:cs="Arial" w:eastAsia="Arial" w:hAnsi="Arial"/>
          <w:b w:val="false"/>
          <w:bCs w:val="false"/>
          <w:sz w:val="20"/>
          <w:szCs w:val="20"/>
        </w:rPr>
        <w:t xml:space="preserve">	15</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8.  Other payables and accruals</w:t>
      </w:r>
      <w:r>
        <w:rPr>
          <w:rFonts w:ascii="Arial" w:cs="Arial" w:eastAsia="Arial" w:hAnsi="Arial"/>
          <w:b w:val="false"/>
          <w:bCs w:val="false"/>
          <w:sz w:val="20"/>
          <w:szCs w:val="20"/>
        </w:rPr>
        <w:t xml:space="preserve">	15</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9.  Income</w:t>
      </w:r>
      <w:r>
        <w:rPr>
          <w:rFonts w:ascii="Arial" w:cs="Arial" w:eastAsia="Arial" w:hAnsi="Arial"/>
          <w:b w:val="false"/>
          <w:bCs w:val="false"/>
          <w:sz w:val="20"/>
          <w:szCs w:val="20"/>
        </w:rPr>
        <w:t xml:space="preserve">	15</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10.  Surplus of income over expenditure before taxation</w:t>
      </w:r>
      <w:r>
        <w:rPr>
          <w:rFonts w:ascii="Arial" w:cs="Arial" w:eastAsia="Arial" w:hAnsi="Arial"/>
          <w:b w:val="false"/>
          <w:bCs w:val="false"/>
          <w:sz w:val="20"/>
          <w:szCs w:val="20"/>
        </w:rPr>
        <w:t xml:space="preserve">	16</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11.  Taxation</w:t>
      </w:r>
      <w:r>
        <w:rPr>
          <w:rFonts w:ascii="Arial" w:cs="Arial" w:eastAsia="Arial" w:hAnsi="Arial"/>
          <w:b w:val="false"/>
          <w:bCs w:val="false"/>
          <w:sz w:val="20"/>
          <w:szCs w:val="20"/>
        </w:rPr>
        <w:t xml:space="preserve">	16</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12.  Financial instruments</w:t>
      </w:r>
      <w:r>
        <w:rPr>
          <w:rFonts w:ascii="Arial" w:cs="Arial" w:eastAsia="Arial" w:hAnsi="Arial"/>
          <w:b w:val="false"/>
          <w:bCs w:val="false"/>
          <w:sz w:val="20"/>
          <w:szCs w:val="20"/>
        </w:rPr>
        <w:t xml:space="preserve">	16</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13.  Financial risk management objectives and policies</w:t>
      </w:r>
      <w:r>
        <w:rPr>
          <w:rFonts w:ascii="Arial" w:cs="Arial" w:eastAsia="Arial" w:hAnsi="Arial"/>
          <w:b w:val="false"/>
          <w:bCs w:val="false"/>
          <w:sz w:val="20"/>
          <w:szCs w:val="20"/>
        </w:rPr>
        <w:t xml:space="preserve">	17</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14.  Capital management</w:t>
      </w:r>
      <w:r>
        <w:rPr>
          <w:rFonts w:ascii="Arial" w:cs="Arial" w:eastAsia="Arial" w:hAnsi="Arial"/>
          <w:b w:val="false"/>
          <w:bCs w:val="false"/>
          <w:sz w:val="20"/>
          <w:szCs w:val="20"/>
        </w:rPr>
        <w:t xml:space="preserve">	19</w:t>
      </w:r>
    </w:p>
    <w:p>
      <w:pPr>
        <w:tabs>
          <w:tab w:val="right" w:pos="9360" w:leader="dot"/>
        </w:tabs>
        <w:spacing w:after="40" w:before="0" w:line="264"/>
        <w:ind w:left="360"/>
      </w:pPr>
      <w:r>
        <w:rPr>
          <w:rFonts w:ascii="Arial" w:cs="Arial" w:eastAsia="Arial" w:hAnsi="Arial"/>
          <w:b w:val="false"/>
          <w:bCs w:val="false"/>
          <w:i w:val="false"/>
          <w:iCs w:val="false"/>
          <w:sz w:val="20"/>
          <w:szCs w:val="20"/>
        </w:rPr>
        <w:t xml:space="preserve">15.  Restatement</w:t>
      </w:r>
      <w:r>
        <w:rPr>
          <w:rFonts w:ascii="Arial" w:cs="Arial" w:eastAsia="Arial" w:hAnsi="Arial"/>
          <w:b w:val="false"/>
          <w:bCs w:val="false"/>
          <w:sz w:val="20"/>
          <w:szCs w:val="20"/>
        </w:rPr>
        <w:t xml:space="preserve">	19</w:t>
      </w:r>
    </w:p>
    <w:p>
      <w:r>
        <w:br w:type="page"/>
      </w:r>
    </w:p>
    <w:p>
      <w:pPr>
        <w:spacing w:after="200" w:before="0" w:line="264"/>
      </w:pPr>
      <w:r>
        <w:rPr>
          <w:rFonts w:ascii="Arial" w:cs="Arial" w:eastAsia="Arial" w:hAnsi="Arial"/>
          <w:b/>
          <w:bCs/>
          <w:i w:val="false"/>
          <w:iCs w:val="false"/>
          <w:sz w:val="20"/>
          <w:szCs w:val="20"/>
        </w:rPr>
        <w:t xml:space="preserve">201701026533 (1240699-V)</w:t>
      </w:r>
    </w:p>
    <w:p>
      <w:pPr>
        <w:spacing w:after="0" w:before="0" w:line="264"/>
      </w:pPr>
      <w:r>
        <w:rPr>
          <w:rFonts w:ascii="Arial" w:cs="Arial" w:eastAsia="Arial" w:hAnsi="Arial"/>
          <w:b/>
          <w:bCs/>
          <w:i w:val="false"/>
          <w:iCs w:val="false"/>
          <w:sz w:val="20"/>
          <w:szCs w:val="20"/>
        </w:rPr>
        <w:t xml:space="preserve">Financial Industry Collective Outreach</w:t>
      </w:r>
    </w:p>
    <w:p>
      <w:pPr>
        <w:spacing w:after="240" w:before="0" w:line="264"/>
      </w:pPr>
      <w:r>
        <w:rPr>
          <w:rFonts w:ascii="Arial" w:cs="Arial" w:eastAsia="Arial" w:hAnsi="Arial"/>
          <w:b/>
          <w:bCs/>
          <w:i w:val="false"/>
          <w:iCs w:val="false"/>
          <w:sz w:val="20"/>
          <w:szCs w:val="20"/>
        </w:rPr>
        <w:t xml:space="preserve">(Incorporated in Malaysia)</w:t>
      </w:r>
    </w:p>
    <w:p>
      <w:pPr>
        <w:pStyle w:val="Heading1"/>
        <w:spacing w:line="264"/>
      </w:pPr>
      <w:r>
        <w:rPr>
          <w:rFonts w:ascii="Arial" w:cs="Arial" w:eastAsia="Arial" w:hAnsi="Arial"/>
          <w:b/>
          <w:bCs/>
          <w:i w:val="false"/>
          <w:iCs w:val="false"/>
          <w:sz w:val="20"/>
          <w:szCs w:val="20"/>
        </w:rPr>
        <w:t xml:space="preserve">Statement of financial position</w:t>
      </w:r>
    </w:p>
    <w:p>
      <w:pPr>
        <w:spacing w:after="200" w:before="0" w:line="264"/>
      </w:pPr>
      <w:r>
        <w:rPr>
          <w:rFonts w:ascii="Arial" w:cs="Arial" w:eastAsia="Arial" w:hAnsi="Arial"/>
          <w:b/>
          <w:bCs/>
          <w:i w:val="false"/>
          <w:iCs w:val="false"/>
          <w:sz w:val="20"/>
          <w:szCs w:val="20"/>
        </w:rPr>
        <w:t xml:space="preserve">As at 31 December 2021</w:t>
      </w:r>
    </w:p>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Non-current 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Right-of-use asset</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3</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191,518</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Office equipment</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7,541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Current 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Receivables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391,675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Cash and bank balances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6</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2,942,679</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8,778,297</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Total 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3,141,738</w:t>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8,778,297</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Equity and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Equity</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Accumulated fund</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2,543,264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4,506,376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Long term liability</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Lease liability</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3</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160,404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Current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Lease liability</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3</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36,148</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Deferred income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7</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3,993,750</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Other payables and accruals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Total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438,070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4,271,921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Total equity and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3,141,738</w:t>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8,778,297</w:t>
            </w:r>
          </w:p>
        </w:tc>
      </w:tr>
    </w:tbl>
    <w:p>
      <w:pPr>
        <w:spacing w:after="80"/>
      </w:pPr>
    </w:p>
    <w:p>
      <w:pPr>
        <w:spacing w:after="0" w:before="200" w:line="264"/>
      </w:pPr>
      <w:r>
        <w:rPr>
          <w:rFonts w:ascii="Arial" w:cs="Arial" w:eastAsia="Arial" w:hAnsi="Arial"/>
          <w:b w:val="false"/>
          <w:bCs w:val="false"/>
          <w:i/>
          <w:iCs/>
          <w:sz w:val="20"/>
          <w:szCs w:val="20"/>
        </w:rPr>
        <w:t xml:space="preserve">The accompanying accounting policies and explanatory information form an integral part of the financial statements.</w:t>
      </w:r>
    </w:p>
    <w:p>
      <w:r>
        <w:br w:type="page"/>
      </w:r>
    </w:p>
    <w:p>
      <w:pPr>
        <w:spacing w:after="200" w:before="0" w:line="264"/>
      </w:pPr>
      <w:r>
        <w:rPr>
          <w:rFonts w:ascii="Arial" w:cs="Arial" w:eastAsia="Arial" w:hAnsi="Arial"/>
          <w:b/>
          <w:bCs/>
          <w:i w:val="false"/>
          <w:iCs w:val="false"/>
          <w:sz w:val="20"/>
          <w:szCs w:val="20"/>
        </w:rPr>
        <w:t xml:space="preserve">201701026533 (1240699-V)</w:t>
      </w:r>
    </w:p>
    <w:p>
      <w:pPr>
        <w:spacing w:after="0" w:before="0" w:line="264"/>
      </w:pPr>
      <w:r>
        <w:rPr>
          <w:rFonts w:ascii="Arial" w:cs="Arial" w:eastAsia="Arial" w:hAnsi="Arial"/>
          <w:b/>
          <w:bCs/>
          <w:i w:val="false"/>
          <w:iCs w:val="false"/>
          <w:sz w:val="20"/>
          <w:szCs w:val="20"/>
        </w:rPr>
        <w:t xml:space="preserve">Financial Industry Collective Outreach</w:t>
      </w:r>
    </w:p>
    <w:p>
      <w:pPr>
        <w:spacing w:after="240" w:before="0" w:line="264"/>
      </w:pPr>
      <w:r>
        <w:rPr>
          <w:rFonts w:ascii="Arial" w:cs="Arial" w:eastAsia="Arial" w:hAnsi="Arial"/>
          <w:b/>
          <w:bCs/>
          <w:i w:val="false"/>
          <w:iCs w:val="false"/>
          <w:sz w:val="20"/>
          <w:szCs w:val="20"/>
        </w:rPr>
        <w:t xml:space="preserve">(Incorporated in Malaysia)</w:t>
      </w:r>
    </w:p>
    <w:p>
      <w:pPr>
        <w:pStyle w:val="Heading1"/>
        <w:spacing w:line="264"/>
      </w:pPr>
      <w:r>
        <w:rPr>
          <w:rFonts w:ascii="Arial" w:cs="Arial" w:eastAsia="Arial" w:hAnsi="Arial"/>
          <w:b/>
          <w:bCs/>
          <w:i w:val="false"/>
          <w:iCs w:val="false"/>
          <w:sz w:val="20"/>
          <w:szCs w:val="20"/>
        </w:rPr>
        <w:t xml:space="preserve">Statement of income and expenditure</w:t>
      </w:r>
    </w:p>
    <w:p>
      <w:pPr>
        <w:spacing w:after="200" w:before="0" w:line="264"/>
      </w:pPr>
      <w:r>
        <w:rPr>
          <w:rFonts w:ascii="Arial" w:cs="Arial" w:eastAsia="Arial" w:hAnsi="Arial"/>
          <w:b/>
          <w:bCs/>
          <w:i w:val="false"/>
          <w:iCs w:val="false"/>
          <w:sz w:val="20"/>
          <w:szCs w:val="20"/>
        </w:rPr>
        <w:t xml:space="preserve">For the financial year ended 31 December 2021</w:t>
      </w:r>
    </w:p>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Income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9</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3,871,250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3,956,875</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Expenditure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(5,834,362)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(2,457,801)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(Deficit)/surplus of income over expenditure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val="false"/>
                <w:bCs w:val="false"/>
                <w:i w:val="false"/>
                <w:iCs w:val="false"/>
                <w:sz w:val="20"/>
                <w:szCs w:val="20"/>
              </w:rPr>
              <w:t xml:space="preserve">before taxation</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10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Taxation</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11</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(Deficit)/surplus of income over expenditure</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val="false"/>
                <w:bCs w:val="false"/>
                <w:i w:val="false"/>
                <w:iCs w:val="false"/>
                <w:sz w:val="20"/>
                <w:szCs w:val="20"/>
              </w:rPr>
              <w:t xml:space="preserve">for the financial year</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r>
    </w:tbl>
    <w:p>
      <w:pPr>
        <w:spacing w:after="80"/>
      </w:pPr>
    </w:p>
    <w:p>
      <w:pPr>
        <w:spacing w:after="0" w:before="200" w:line="264"/>
      </w:pPr>
      <w:r>
        <w:rPr>
          <w:rFonts w:ascii="Arial" w:cs="Arial" w:eastAsia="Arial" w:hAnsi="Arial"/>
          <w:b w:val="false"/>
          <w:bCs w:val="false"/>
          <w:i/>
          <w:iCs/>
          <w:sz w:val="20"/>
          <w:szCs w:val="20"/>
        </w:rPr>
        <w:t xml:space="preserve">The accompanying accounting policies and explanatory information form an integral part of the financial statements.</w:t>
      </w:r>
    </w:p>
    <w:p>
      <w:r>
        <w:br w:type="page"/>
      </w:r>
    </w:p>
    <w:p>
      <w:pPr>
        <w:spacing w:after="200" w:before="0" w:line="264"/>
      </w:pPr>
      <w:r>
        <w:rPr>
          <w:rFonts w:ascii="Arial" w:cs="Arial" w:eastAsia="Arial" w:hAnsi="Arial"/>
          <w:b/>
          <w:bCs/>
          <w:i w:val="false"/>
          <w:iCs w:val="false"/>
          <w:sz w:val="20"/>
          <w:szCs w:val="20"/>
        </w:rPr>
        <w:t xml:space="preserve">201701026533 (1240699-V)</w:t>
      </w:r>
    </w:p>
    <w:p>
      <w:pPr>
        <w:spacing w:after="0" w:before="0" w:line="264"/>
      </w:pPr>
      <w:r>
        <w:rPr>
          <w:rFonts w:ascii="Arial" w:cs="Arial" w:eastAsia="Arial" w:hAnsi="Arial"/>
          <w:b/>
          <w:bCs/>
          <w:i w:val="false"/>
          <w:iCs w:val="false"/>
          <w:sz w:val="20"/>
          <w:szCs w:val="20"/>
        </w:rPr>
        <w:t xml:space="preserve">Financial Industry Collective Outreach</w:t>
      </w:r>
    </w:p>
    <w:p>
      <w:pPr>
        <w:spacing w:after="240" w:before="0" w:line="264"/>
      </w:pPr>
      <w:r>
        <w:rPr>
          <w:rFonts w:ascii="Arial" w:cs="Arial" w:eastAsia="Arial" w:hAnsi="Arial"/>
          <w:b/>
          <w:bCs/>
          <w:i w:val="false"/>
          <w:iCs w:val="false"/>
          <w:sz w:val="20"/>
          <w:szCs w:val="20"/>
        </w:rPr>
        <w:t xml:space="preserve">(Incorporated in Malaysia)</w:t>
      </w:r>
    </w:p>
    <w:p>
      <w:pPr>
        <w:pStyle w:val="Heading1"/>
        <w:spacing w:line="264"/>
      </w:pPr>
      <w:r>
        <w:rPr>
          <w:rFonts w:ascii="Arial" w:cs="Arial" w:eastAsia="Arial" w:hAnsi="Arial"/>
          <w:b/>
          <w:bCs/>
          <w:i w:val="false"/>
          <w:iCs w:val="false"/>
          <w:sz w:val="20"/>
          <w:szCs w:val="20"/>
        </w:rPr>
        <w:t xml:space="preserve">Statement of changes in equity</w:t>
      </w:r>
    </w:p>
    <w:p>
      <w:pPr>
        <w:spacing w:after="200" w:before="0" w:line="264"/>
      </w:pPr>
      <w:r>
        <w:rPr>
          <w:rFonts w:ascii="Arial" w:cs="Arial" w:eastAsia="Arial" w:hAnsi="Arial"/>
          <w:b/>
          <w:bCs/>
          <w:i w:val="false"/>
          <w:iCs w:val="false"/>
          <w:sz w:val="20"/>
          <w:szCs w:val="20"/>
        </w:rPr>
        <w:t xml:space="preserve">For the financial year ended 31 December 2021</w:t>
      </w:r>
    </w:p>
    <w:tbl>
      <w:tblPr>
        <w:tblW w:type="dxa" w:w="9360"/>
        <w:tblBorders>
          <w:top w:val="nil"/>
          <w:left w:val="nil"/>
          <w:bottom w:val="nil"/>
          <w:right w:val="nil"/>
          <w:insideH w:val="nil"/>
          <w:insideV w:val="nil"/>
        </w:tblBorders>
      </w:tblPr>
      <w:tblGrid>
        <w:gridCol w:w="4360"/>
        <w:gridCol w:w="2500"/>
        <w:gridCol w:w="250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Accumulated</w:t>
            </w:r>
          </w:p>
          <w:p>
            <w:pPr>
              <w:spacing w:after="0" w:before="0" w:line="264"/>
              <w:jc w:val="right"/>
            </w:pPr>
            <w:r>
              <w:rPr>
                <w:rFonts w:ascii="Arial" w:cs="Arial" w:eastAsia="Arial" w:hAnsi="Arial"/>
                <w:b/>
                <w:bCs/>
                <w:i w:val="false"/>
                <w:iCs w:val="false"/>
                <w:sz w:val="20"/>
                <w:szCs w:val="20"/>
              </w:rPr>
              <w:t xml:space="preserve">fund</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Total</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 at 1 January 2020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3,007,302</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3,007,302</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Surplus of income over expenditure for the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val="false"/>
                <w:bCs w:val="false"/>
                <w:i w:val="false"/>
                <w:iCs w:val="false"/>
                <w:sz w:val="20"/>
                <w:szCs w:val="20"/>
              </w:rPr>
              <w:t xml:space="preserve">financial year (restated)</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 at 31 December 2020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4,506,376</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4,506,376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 at 1 January 2021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4,506,376</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4,506,376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(Deficit)/surplus of income over expenditure for the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val="false"/>
                <w:bCs w:val="false"/>
                <w:i w:val="false"/>
                <w:iCs w:val="false"/>
                <w:sz w:val="20"/>
                <w:szCs w:val="20"/>
              </w:rPr>
              <w:t xml:space="preserve">financial year</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As at 31 December 2021</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2,543,264</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2,543,264</w:t>
            </w:r>
          </w:p>
        </w:tc>
      </w:tr>
    </w:tbl>
    <w:p>
      <w:pPr>
        <w:spacing w:after="80"/>
      </w:pPr>
    </w:p>
    <w:p>
      <w:pPr>
        <w:spacing w:after="0" w:before="200" w:line="264"/>
      </w:pPr>
      <w:r>
        <w:rPr>
          <w:rFonts w:ascii="Arial" w:cs="Arial" w:eastAsia="Arial" w:hAnsi="Arial"/>
          <w:b w:val="false"/>
          <w:bCs w:val="false"/>
          <w:i/>
          <w:iCs/>
          <w:sz w:val="20"/>
          <w:szCs w:val="20"/>
        </w:rPr>
        <w:t xml:space="preserve">The accompanying accounting policies and explanatory information form an integral part of the financial statements.</w:t>
      </w:r>
    </w:p>
    <w:p>
      <w:r>
        <w:br w:type="page"/>
      </w:r>
    </w:p>
    <w:p>
      <w:pPr>
        <w:spacing w:after="200" w:before="0" w:line="264"/>
      </w:pPr>
      <w:r>
        <w:rPr>
          <w:rFonts w:ascii="Arial" w:cs="Arial" w:eastAsia="Arial" w:hAnsi="Arial"/>
          <w:b/>
          <w:bCs/>
          <w:i w:val="false"/>
          <w:iCs w:val="false"/>
          <w:sz w:val="20"/>
          <w:szCs w:val="20"/>
        </w:rPr>
        <w:t xml:space="preserve">201701026533 (1240699-V)</w:t>
      </w:r>
    </w:p>
    <w:p>
      <w:pPr>
        <w:spacing w:after="0" w:before="0" w:line="264"/>
      </w:pPr>
      <w:r>
        <w:rPr>
          <w:rFonts w:ascii="Arial" w:cs="Arial" w:eastAsia="Arial" w:hAnsi="Arial"/>
          <w:b/>
          <w:bCs/>
          <w:i w:val="false"/>
          <w:iCs w:val="false"/>
          <w:sz w:val="20"/>
          <w:szCs w:val="20"/>
        </w:rPr>
        <w:t xml:space="preserve">Financial Industry Collective Outreach</w:t>
      </w:r>
    </w:p>
    <w:p>
      <w:pPr>
        <w:spacing w:after="240" w:before="0" w:line="264"/>
      </w:pPr>
      <w:r>
        <w:rPr>
          <w:rFonts w:ascii="Arial" w:cs="Arial" w:eastAsia="Arial" w:hAnsi="Arial"/>
          <w:b/>
          <w:bCs/>
          <w:i w:val="false"/>
          <w:iCs w:val="false"/>
          <w:sz w:val="20"/>
          <w:szCs w:val="20"/>
        </w:rPr>
        <w:t xml:space="preserve">(Incorporated in Malaysia)</w:t>
      </w:r>
    </w:p>
    <w:p>
      <w:pPr>
        <w:pStyle w:val="Heading1"/>
        <w:spacing w:line="264"/>
      </w:pPr>
      <w:r>
        <w:rPr>
          <w:rFonts w:ascii="Arial" w:cs="Arial" w:eastAsia="Arial" w:hAnsi="Arial"/>
          <w:b/>
          <w:bCs/>
          <w:i w:val="false"/>
          <w:iCs w:val="false"/>
          <w:sz w:val="20"/>
          <w:szCs w:val="20"/>
        </w:rPr>
        <w:t xml:space="preserve">Statement of cash flows</w:t>
      </w:r>
    </w:p>
    <w:p>
      <w:pPr>
        <w:spacing w:after="200" w:before="0" w:line="264"/>
      </w:pPr>
      <w:r>
        <w:rPr>
          <w:rFonts w:ascii="Arial" w:cs="Arial" w:eastAsia="Arial" w:hAnsi="Arial"/>
          <w:b/>
          <w:bCs/>
          <w:i w:val="false"/>
          <w:iCs w:val="false"/>
          <w:sz w:val="20"/>
          <w:szCs w:val="20"/>
        </w:rPr>
        <w:t xml:space="preserve">For the financial year ended 31 December 2021</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Cash flows from operating activities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Cash received from members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3,196,875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3,652,396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Cash paid to employees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(897,501)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(793,604)</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Payment for other expenses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(4,707,944)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(1,460,661)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Net cash (used in)/generated from operating activities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(2,408,570)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1,398,131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Cash flows from investing activities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Purchase of equipment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(8,420)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Rental payments under capital lease obligation</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(35,875)</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Net cash used in investing activities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(44,295)</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Net (decrease)/increase in cash and cash equivalents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(2,452,865)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1,398,131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Cash and cash equivalents at beginning</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bCs/>
                <w:i w:val="false"/>
                <w:iCs w:val="false"/>
                <w:sz w:val="20"/>
                <w:szCs w:val="20"/>
              </w:rPr>
              <w:t xml:space="preserve">of the financial year</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5,003,869</w:t>
            </w:r>
          </w:p>
        </w:tc>
        <w:tc>
          <w:tcPr>
            <w:tcBorders>
              <w:top w:val="single" w:color="000000" w:sz="6" w:space="1"/>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3,605,738</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Cash and cash equivalents at end of the financial</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200"/>
            </w:pPr>
            <w:r>
              <w:rPr>
                <w:rFonts w:ascii="Arial" w:cs="Arial" w:eastAsia="Arial" w:hAnsi="Arial"/>
                <w:b/>
                <w:bCs/>
                <w:i w:val="false"/>
                <w:iCs w:val="false"/>
                <w:sz w:val="20"/>
                <w:szCs w:val="20"/>
              </w:rPr>
              <w:t xml:space="preserve">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2,551,004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5,003,869</w:t>
            </w:r>
          </w:p>
        </w:tc>
      </w:tr>
    </w:tbl>
    <w:p>
      <w:pPr>
        <w:spacing w:after="80"/>
      </w:pPr>
    </w:p>
    <w:p>
      <w:pPr>
        <w:spacing w:after="0" w:before="200" w:line="264"/>
      </w:pPr>
      <w:r>
        <w:rPr>
          <w:rFonts w:ascii="Arial" w:cs="Arial" w:eastAsia="Arial" w:hAnsi="Arial"/>
          <w:b w:val="false"/>
          <w:bCs w:val="false"/>
          <w:i/>
          <w:iCs/>
          <w:sz w:val="20"/>
          <w:szCs w:val="20"/>
        </w:rPr>
        <w:t xml:space="preserve">The accompanying accounting policies and explanatory information form an integral part of the financial statements.</w:t>
      </w:r>
    </w:p>
    <w:p>
      <w:r>
        <w:br w:type="page"/>
      </w:r>
    </w:p>
    <w:p>
      <w:pPr>
        <w:spacing w:after="200" w:before="0" w:line="264"/>
      </w:pPr>
      <w:r>
        <w:rPr>
          <w:rFonts w:ascii="Arial" w:cs="Arial" w:eastAsia="Arial" w:hAnsi="Arial"/>
          <w:b/>
          <w:bCs/>
          <w:i w:val="false"/>
          <w:iCs w:val="false"/>
          <w:sz w:val="20"/>
          <w:szCs w:val="20"/>
        </w:rPr>
        <w:t xml:space="preserve">201701026533 (1240699-V)</w:t>
      </w:r>
    </w:p>
    <w:p>
      <w:pPr>
        <w:spacing w:after="0" w:before="0" w:line="264"/>
      </w:pPr>
      <w:r>
        <w:rPr>
          <w:rFonts w:ascii="Arial" w:cs="Arial" w:eastAsia="Arial" w:hAnsi="Arial"/>
          <w:b/>
          <w:bCs/>
          <w:i w:val="false"/>
          <w:iCs w:val="false"/>
          <w:sz w:val="20"/>
          <w:szCs w:val="20"/>
        </w:rPr>
        <w:t xml:space="preserve">Financial Industry Collective Outreach</w:t>
      </w:r>
    </w:p>
    <w:p>
      <w:pPr>
        <w:spacing w:after="240" w:before="0" w:line="264"/>
      </w:pPr>
      <w:r>
        <w:rPr>
          <w:rFonts w:ascii="Arial" w:cs="Arial" w:eastAsia="Arial" w:hAnsi="Arial"/>
          <w:b/>
          <w:bCs/>
          <w:i w:val="false"/>
          <w:iCs w:val="false"/>
          <w:sz w:val="20"/>
          <w:szCs w:val="20"/>
        </w:rPr>
        <w:t xml:space="preserve">(Incorporated in Malaysia)</w:t>
      </w:r>
    </w:p>
    <w:p>
      <w:pPr>
        <w:pStyle w:val="Heading1"/>
        <w:spacing w:line="264"/>
      </w:pPr>
      <w:r>
        <w:rPr>
          <w:rFonts w:ascii="Arial" w:cs="Arial" w:eastAsia="Arial" w:hAnsi="Arial"/>
          <w:b/>
          <w:bCs/>
          <w:i w:val="false"/>
          <w:iCs w:val="false"/>
          <w:sz w:val="20"/>
          <w:szCs w:val="20"/>
        </w:rPr>
        <w:t xml:space="preserve">Notes to the financial statements</w:t>
      </w:r>
    </w:p>
    <w:p>
      <w:pPr>
        <w:spacing w:after="200" w:before="0" w:line="264"/>
      </w:pPr>
      <w:r>
        <w:rPr>
          <w:rFonts w:ascii="Arial" w:cs="Arial" w:eastAsia="Arial" w:hAnsi="Arial"/>
          <w:b/>
          <w:bCs/>
          <w:i w:val="false"/>
          <w:iCs w:val="false"/>
          <w:sz w:val="20"/>
          <w:szCs w:val="20"/>
        </w:rPr>
        <w:t xml:space="preserve">For the financial year ended 31 December 2021</w:t>
      </w:r>
    </w:p>
    <w:p>
      <w:pPr>
        <w:pStyle w:val="Heading2"/>
        <w:tabs>
          <w:tab w:val="left" w:pos="620"/>
        </w:tabs>
        <w:spacing w:after="160" w:before="260" w:line="264"/>
      </w:pPr>
      <w:r>
        <w:rPr>
          <w:rFonts w:ascii="Arial" w:cs="Arial" w:eastAsia="Arial" w:hAnsi="Arial"/>
          <w:b/>
          <w:bCs/>
          <w:i w:val="false"/>
          <w:iCs w:val="false"/>
          <w:sz w:val="20"/>
          <w:szCs w:val="20"/>
        </w:rPr>
        <w:t xml:space="preserve">1.</w:t>
      </w:r>
      <w:r>
        <w:rPr>
          <w:rFonts w:ascii="Arial" w:cs="Arial" w:eastAsia="Arial" w:hAnsi="Arial"/>
          <w:b/>
          <w:bCs/>
          <w:sz w:val="20"/>
          <w:szCs w:val="20"/>
        </w:rPr>
        <w:t xml:space="preserve">	Corporate information</w:t>
      </w:r>
    </w:p>
    <w:p>
      <w:pPr>
        <w:spacing w:after="140" w:before="0" w:line="264"/>
        <w:ind w:left="620"/>
      </w:pPr>
      <w:r>
        <w:rPr>
          <w:rFonts w:ascii="Arial" w:cs="Arial" w:eastAsia="Arial" w:hAnsi="Arial"/>
          <w:b w:val="false"/>
          <w:bCs w:val="false"/>
          <w:i w:val="false"/>
          <w:iCs w:val="false"/>
          <w:sz w:val="20"/>
          <w:szCs w:val="20"/>
        </w:rPr>
        <w:t xml:space="preserve">Financial Industry Collective Outreach is a private limited liability company, incorporated and domiciled in Malaysia. The principal place of business and registered office of the Company is located at Tricor Corporate Services Sdn. Bhd., Unit 3001, Level 30, Tower A, Vertical Business Suite, Avenue 3, Bangsar South, No. 8, Jalan Kerinchi, 59200 Kuala Lumpur W.P. Kuala Lumpur.</w:t>
      </w:r>
    </w:p>
    <w:p>
      <w:pPr>
        <w:spacing w:after="140" w:before="0" w:line="264"/>
        <w:ind w:left="620"/>
      </w:pPr>
      <w:r>
        <w:rPr>
          <w:rFonts w:ascii="Arial" w:cs="Arial" w:eastAsia="Arial" w:hAnsi="Arial"/>
          <w:b w:val="false"/>
          <w:bCs w:val="false"/>
          <w:i w:val="false"/>
          <w:iCs w:val="false"/>
          <w:sz w:val="20"/>
          <w:szCs w:val="20"/>
        </w:rPr>
        <w:t xml:space="preserve">The principal activity of the Company is to provide an avenue for all financial industry players to collaborate and implement sustainable community outreach programmes through shared funding and resources for children and youth of the nation.</w:t>
      </w:r>
    </w:p>
    <w:p>
      <w:pPr>
        <w:spacing w:after="140" w:before="0" w:line="264"/>
        <w:ind w:left="620"/>
      </w:pPr>
      <w:r>
        <w:rPr>
          <w:rFonts w:ascii="Arial" w:cs="Arial" w:eastAsia="Arial" w:hAnsi="Arial"/>
          <w:b w:val="false"/>
          <w:bCs w:val="false"/>
          <w:i w:val="false"/>
          <w:iCs w:val="false"/>
          <w:sz w:val="20"/>
          <w:szCs w:val="20"/>
        </w:rPr>
        <w:t xml:space="preserve">There have been no significant changes in the nature of these activities during the financial year end.</w:t>
      </w:r>
    </w:p>
    <w:p>
      <w:pPr>
        <w:spacing w:after="140" w:before="0" w:line="264"/>
        <w:ind w:left="620"/>
      </w:pPr>
      <w:r>
        <w:rPr>
          <w:rFonts w:ascii="Arial" w:cs="Arial" w:eastAsia="Arial" w:hAnsi="Arial"/>
          <w:b w:val="false"/>
          <w:bCs w:val="false"/>
          <w:i w:val="false"/>
          <w:iCs w:val="false"/>
          <w:sz w:val="20"/>
          <w:szCs w:val="20"/>
        </w:rPr>
        <w:t xml:space="preserve">The financial statements for the year ended 31 December 2021 were authorised for issue by the Board of Directors on 11 April 2022.</w:t>
      </w:r>
    </w:p>
    <w:p>
      <w:pPr>
        <w:pStyle w:val="Heading2"/>
        <w:tabs>
          <w:tab w:val="left" w:pos="620"/>
        </w:tabs>
        <w:spacing w:after="160" w:before="260" w:line="264"/>
      </w:pPr>
      <w:r>
        <w:rPr>
          <w:rFonts w:ascii="Arial" w:cs="Arial" w:eastAsia="Arial" w:hAnsi="Arial"/>
          <w:b/>
          <w:bCs/>
          <w:i w:val="false"/>
          <w:iCs w:val="false"/>
          <w:sz w:val="20"/>
          <w:szCs w:val="20"/>
        </w:rPr>
        <w:t xml:space="preserve">2.</w:t>
      </w:r>
      <w:r>
        <w:rPr>
          <w:rFonts w:ascii="Arial" w:cs="Arial" w:eastAsia="Arial" w:hAnsi="Arial"/>
          <w:b/>
          <w:bCs/>
          <w:sz w:val="20"/>
          <w:szCs w:val="20"/>
        </w:rPr>
        <w:t xml:space="preserve">	Significant accounting policies</w:t>
      </w:r>
    </w:p>
    <w:p>
      <w:pPr>
        <w:tabs>
          <w:tab w:val="left" w:pos="620"/>
        </w:tabs>
        <w:spacing w:after="120" w:before="160" w:line="264"/>
      </w:pPr>
      <w:r>
        <w:rPr>
          <w:rFonts w:ascii="Arial" w:cs="Arial" w:eastAsia="Arial" w:hAnsi="Arial"/>
          <w:b/>
          <w:bCs/>
          <w:i w:val="false"/>
          <w:iCs w:val="false"/>
          <w:sz w:val="20"/>
          <w:szCs w:val="20"/>
        </w:rPr>
        <w:t xml:space="preserve">2.1</w:t>
      </w:r>
      <w:r>
        <w:rPr>
          <w:rFonts w:ascii="Arial" w:cs="Arial" w:eastAsia="Arial" w:hAnsi="Arial"/>
          <w:b/>
          <w:bCs/>
          <w:sz w:val="20"/>
          <w:szCs w:val="20"/>
        </w:rPr>
        <w:t xml:space="preserve">	Basis of preparation</w:t>
      </w:r>
    </w:p>
    <w:p>
      <w:pPr>
        <w:spacing w:after="140" w:before="0" w:line="264"/>
        <w:ind w:left="620"/>
      </w:pPr>
      <w:r>
        <w:rPr>
          <w:rFonts w:ascii="Arial" w:cs="Arial" w:eastAsia="Arial" w:hAnsi="Arial"/>
          <w:b w:val="false"/>
          <w:bCs w:val="false"/>
          <w:i w:val="false"/>
          <w:iCs w:val="false"/>
          <w:sz w:val="20"/>
          <w:szCs w:val="20"/>
        </w:rPr>
        <w:t xml:space="preserve">The financial statements of the Company has been prepared in accordance with Malaysian Financial Reporting Standards (“MFRS”), International Financial Reporting Standards (“IFRS”) and the requirements of Companies Act, 2016 in Malaysia.</w:t>
      </w:r>
    </w:p>
    <w:p>
      <w:pPr>
        <w:spacing w:after="140" w:before="0" w:line="264"/>
        <w:ind w:left="620"/>
      </w:pPr>
      <w:r>
        <w:rPr>
          <w:rFonts w:ascii="Arial" w:cs="Arial" w:eastAsia="Arial" w:hAnsi="Arial"/>
          <w:b w:val="false"/>
          <w:bCs w:val="false"/>
          <w:i w:val="false"/>
          <w:iCs w:val="false"/>
          <w:sz w:val="20"/>
          <w:szCs w:val="20"/>
        </w:rPr>
        <w:t xml:space="preserve">The financial statements of the Company have been prepared under the historical cost convention, unless otherwise stated in the significant accounting policies.</w:t>
      </w:r>
    </w:p>
    <w:p>
      <w:pPr>
        <w:tabs>
          <w:tab w:val="left" w:pos="620"/>
        </w:tabs>
        <w:spacing w:after="120" w:before="160" w:line="264"/>
      </w:pPr>
      <w:r>
        <w:rPr>
          <w:rFonts w:ascii="Arial" w:cs="Arial" w:eastAsia="Arial" w:hAnsi="Arial"/>
          <w:b/>
          <w:bCs/>
          <w:i w:val="false"/>
          <w:iCs w:val="false"/>
          <w:sz w:val="20"/>
          <w:szCs w:val="20"/>
        </w:rPr>
        <w:t xml:space="preserve">2.2</w:t>
      </w:r>
      <w:r>
        <w:rPr>
          <w:rFonts w:ascii="Arial" w:cs="Arial" w:eastAsia="Arial" w:hAnsi="Arial"/>
          <w:b/>
          <w:bCs/>
          <w:sz w:val="20"/>
          <w:szCs w:val="20"/>
        </w:rPr>
        <w:t xml:space="preserve">	Presentation of financial statements</w:t>
      </w:r>
    </w:p>
    <w:p>
      <w:pPr>
        <w:spacing w:after="140" w:before="0" w:line="264"/>
        <w:ind w:left="620"/>
      </w:pPr>
      <w:r>
        <w:rPr>
          <w:rFonts w:ascii="Arial" w:cs="Arial" w:eastAsia="Arial" w:hAnsi="Arial"/>
          <w:b w:val="false"/>
          <w:bCs w:val="false"/>
          <w:i w:val="false"/>
          <w:iCs w:val="false"/>
          <w:sz w:val="20"/>
          <w:szCs w:val="20"/>
        </w:rPr>
        <w:t xml:space="preserve">The financial statements are presented in Ringgit Malaysia (“RM”) which is the Company's functional currency and all values are rounded to the nearest RM except when otherwise stated.</w:t>
      </w:r>
    </w:p>
    <w:p>
      <w:pPr>
        <w:tabs>
          <w:tab w:val="left" w:pos="620"/>
        </w:tabs>
        <w:spacing w:after="120" w:before="160" w:line="264"/>
      </w:pPr>
      <w:r>
        <w:rPr>
          <w:rFonts w:ascii="Arial" w:cs="Arial" w:eastAsia="Arial" w:hAnsi="Arial"/>
          <w:b/>
          <w:bCs/>
          <w:i w:val="false"/>
          <w:iCs w:val="false"/>
          <w:sz w:val="20"/>
          <w:szCs w:val="20"/>
        </w:rPr>
        <w:t xml:space="preserve">2.3</w:t>
      </w:r>
      <w:r>
        <w:rPr>
          <w:rFonts w:ascii="Arial" w:cs="Arial" w:eastAsia="Arial" w:hAnsi="Arial"/>
          <w:b/>
          <w:bCs/>
          <w:sz w:val="20"/>
          <w:szCs w:val="20"/>
        </w:rPr>
        <w:t xml:space="preserve">	Amendments to MFRSs that were adopted</w:t>
      </w:r>
    </w:p>
    <w:p>
      <w:pPr>
        <w:spacing w:after="60" w:before="0" w:line="264"/>
        <w:ind w:left="620"/>
      </w:pPr>
      <w:r>
        <w:rPr>
          <w:rFonts w:ascii="Arial" w:cs="Arial" w:eastAsia="Arial" w:hAnsi="Arial"/>
          <w:b w:val="false"/>
          <w:bCs w:val="false"/>
          <w:i/>
          <w:iCs/>
          <w:sz w:val="20"/>
          <w:szCs w:val="20"/>
        </w:rPr>
        <w:t xml:space="preserve">Amendments to MFRS 16 Leases - Covid-19 - Related Rent Concessions</w:t>
      </w:r>
    </w:p>
    <w:p>
      <w:pPr>
        <w:spacing w:after="60" w:before="0" w:line="264"/>
        <w:ind w:left="620"/>
      </w:pPr>
      <w:r>
        <w:rPr>
          <w:rFonts w:ascii="Arial" w:cs="Arial" w:eastAsia="Arial" w:hAnsi="Arial"/>
          <w:b w:val="false"/>
          <w:bCs w:val="false"/>
          <w:i/>
          <w:iCs/>
          <w:sz w:val="20"/>
          <w:szCs w:val="20"/>
        </w:rPr>
        <w:t xml:space="preserve">Amendments to MFRS 9 Financial Instruments, MFRS 139 Financial Instruments: Recognition and Measurement, MFRS 7 Financial Instruments: Disclosures, MFRS 4 Insurance Contracts and MFRS 16 Leases - Interest Rate Benchmark Reform - Phase 2</w:t>
      </w:r>
    </w:p>
    <w:p>
      <w:pPr>
        <w:spacing w:after="140" w:before="0" w:line="264"/>
        <w:ind w:left="620"/>
      </w:pPr>
      <w:r>
        <w:rPr>
          <w:rFonts w:ascii="Arial" w:cs="Arial" w:eastAsia="Arial" w:hAnsi="Arial"/>
          <w:b w:val="false"/>
          <w:bCs w:val="false"/>
          <w:i w:val="false"/>
          <w:iCs w:val="false"/>
          <w:sz w:val="20"/>
          <w:szCs w:val="20"/>
        </w:rPr>
        <w:t xml:space="preserve">The adoption of the above amended MFRS did not have any material impact on the financial statements of the Company in the current financial year.</w:t>
      </w:r>
    </w:p>
    <w:p>
      <w:pPr>
        <w:tabs>
          <w:tab w:val="left" w:pos="620"/>
        </w:tabs>
        <w:spacing w:after="120" w:before="160" w:line="264"/>
      </w:pPr>
      <w:r>
        <w:rPr>
          <w:rFonts w:ascii="Arial" w:cs="Arial" w:eastAsia="Arial" w:hAnsi="Arial"/>
          <w:b/>
          <w:bCs/>
          <w:i w:val="false"/>
          <w:iCs w:val="false"/>
          <w:sz w:val="20"/>
          <w:szCs w:val="20"/>
        </w:rPr>
        <w:t xml:space="preserve">2.4</w:t>
      </w:r>
      <w:r>
        <w:rPr>
          <w:rFonts w:ascii="Arial" w:cs="Arial" w:eastAsia="Arial" w:hAnsi="Arial"/>
          <w:b/>
          <w:bCs/>
          <w:sz w:val="20"/>
          <w:szCs w:val="20"/>
        </w:rPr>
        <w:t xml:space="preserve">	MFRSs and Amendments to MFRSs that have been issued but not yet effective</w:t>
      </w:r>
    </w:p>
    <w:p>
      <w:pPr>
        <w:spacing w:after="140" w:before="0" w:line="264"/>
        <w:ind w:left="620"/>
      </w:pPr>
      <w:r>
        <w:rPr>
          <w:rFonts w:ascii="Arial" w:cs="Arial" w:eastAsia="Arial" w:hAnsi="Arial"/>
          <w:b w:val="false"/>
          <w:bCs w:val="false"/>
          <w:i w:val="false"/>
          <w:iCs w:val="false"/>
          <w:sz w:val="20"/>
          <w:szCs w:val="20"/>
        </w:rPr>
        <w:t xml:space="preserve">As at the date of authorisation of these financial statements, the following MFRS and amendments to MFRS have been issued by the Malaysian Accounting Standards Board (“MASB”) but are not yet effective and have not been adopted by the Company.</w:t>
      </w:r>
    </w:p>
    <w:p>
      <w:pPr>
        <w:spacing w:after="100" w:before="0" w:line="264"/>
        <w:ind w:left="620"/>
      </w:pPr>
      <w:r>
        <w:rPr>
          <w:rFonts w:ascii="Arial" w:cs="Arial" w:eastAsia="Arial" w:hAnsi="Arial"/>
          <w:b/>
          <w:bCs/>
          <w:i w:val="false"/>
          <w:iCs w:val="false"/>
          <w:sz w:val="20"/>
          <w:szCs w:val="20"/>
        </w:rPr>
        <w:t xml:space="preserve">Effective for annual periods commencing on or after 1 January 2022</w:t>
      </w:r>
    </w:p>
    <w:p>
      <w:pPr>
        <w:spacing w:after="60" w:before="0" w:line="264"/>
        <w:ind w:left="620"/>
      </w:pPr>
      <w:r>
        <w:rPr>
          <w:rFonts w:ascii="Arial" w:cs="Arial" w:eastAsia="Arial" w:hAnsi="Arial"/>
          <w:b w:val="false"/>
          <w:bCs w:val="false"/>
          <w:i/>
          <w:iCs/>
          <w:sz w:val="20"/>
          <w:szCs w:val="20"/>
        </w:rPr>
        <w:t xml:space="preserve">Amendments to MFRSs contained in the document entitled “Annual Improvements to MFRS Standards 2018-2020”</w:t>
      </w:r>
    </w:p>
    <w:p>
      <w:pPr>
        <w:spacing w:after="60" w:before="0" w:line="264"/>
        <w:ind w:left="620"/>
      </w:pPr>
      <w:r>
        <w:rPr>
          <w:rFonts w:ascii="Arial" w:cs="Arial" w:eastAsia="Arial" w:hAnsi="Arial"/>
          <w:b w:val="false"/>
          <w:bCs w:val="false"/>
          <w:i/>
          <w:iCs/>
          <w:sz w:val="20"/>
          <w:szCs w:val="20"/>
        </w:rPr>
        <w:t xml:space="preserve">Reference to the Conceptual Framework (Amendments to MFRS 3 Business Combinations)</w:t>
      </w:r>
    </w:p>
    <w:p>
      <w:pPr>
        <w:spacing w:after="60" w:before="0" w:line="264"/>
        <w:ind w:left="620"/>
      </w:pPr>
      <w:r>
        <w:rPr>
          <w:rFonts w:ascii="Arial" w:cs="Arial" w:eastAsia="Arial" w:hAnsi="Arial"/>
          <w:b w:val="false"/>
          <w:bCs w:val="false"/>
          <w:i/>
          <w:iCs/>
          <w:sz w:val="20"/>
          <w:szCs w:val="20"/>
        </w:rPr>
        <w:t xml:space="preserve">Property, Plant and Equipment - Proceeds before Intended Use (Amendments to MFRS 116 Property, Plant and Equipment)</w:t>
      </w:r>
    </w:p>
    <w:p>
      <w:pPr>
        <w:spacing w:after="60" w:before="0" w:line="264"/>
        <w:ind w:left="620"/>
      </w:pPr>
      <w:r>
        <w:rPr>
          <w:rFonts w:ascii="Arial" w:cs="Arial" w:eastAsia="Arial" w:hAnsi="Arial"/>
          <w:b w:val="false"/>
          <w:bCs w:val="false"/>
          <w:i/>
          <w:iCs/>
          <w:sz w:val="20"/>
          <w:szCs w:val="20"/>
        </w:rPr>
        <w:t xml:space="preserve">Onerous Contracts - Cost of Fulfilling a Contract (Amendments to MFRS 137 Provisions, Contingent Liabilities and Contingent Assets)</w:t>
      </w:r>
    </w:p>
    <w:p>
      <w:pPr>
        <w:spacing w:after="100" w:before="100" w:line="264"/>
        <w:ind w:left="620"/>
      </w:pPr>
      <w:r>
        <w:rPr>
          <w:rFonts w:ascii="Arial" w:cs="Arial" w:eastAsia="Arial" w:hAnsi="Arial"/>
          <w:b/>
          <w:bCs/>
          <w:i w:val="false"/>
          <w:iCs w:val="false"/>
          <w:sz w:val="20"/>
          <w:szCs w:val="20"/>
        </w:rPr>
        <w:t xml:space="preserve">Effective for annual periods commencing on or after 1 January 2023</w:t>
      </w:r>
    </w:p>
    <w:p>
      <w:pPr>
        <w:spacing w:after="60" w:before="0" w:line="264"/>
        <w:ind w:left="620"/>
      </w:pPr>
      <w:r>
        <w:rPr>
          <w:rFonts w:ascii="Arial" w:cs="Arial" w:eastAsia="Arial" w:hAnsi="Arial"/>
          <w:b w:val="false"/>
          <w:bCs w:val="false"/>
          <w:i/>
          <w:iCs/>
          <w:sz w:val="20"/>
          <w:szCs w:val="20"/>
        </w:rPr>
        <w:t xml:space="preserve">MFRS 17 Insurance Contracts</w:t>
      </w:r>
    </w:p>
    <w:p>
      <w:pPr>
        <w:spacing w:after="60" w:before="0" w:line="264"/>
        <w:ind w:left="620"/>
      </w:pPr>
      <w:r>
        <w:rPr>
          <w:rFonts w:ascii="Arial" w:cs="Arial" w:eastAsia="Arial" w:hAnsi="Arial"/>
          <w:b w:val="false"/>
          <w:bCs w:val="false"/>
          <w:i/>
          <w:iCs/>
          <w:sz w:val="20"/>
          <w:szCs w:val="20"/>
        </w:rPr>
        <w:t xml:space="preserve">Amendments to MFRS 17 Insurance Contracts</w:t>
      </w:r>
    </w:p>
    <w:p>
      <w:pPr>
        <w:spacing w:after="60" w:before="0" w:line="264"/>
        <w:ind w:left="620"/>
      </w:pPr>
      <w:r>
        <w:rPr>
          <w:rFonts w:ascii="Arial" w:cs="Arial" w:eastAsia="Arial" w:hAnsi="Arial"/>
          <w:b w:val="false"/>
          <w:bCs w:val="false"/>
          <w:i/>
          <w:iCs/>
          <w:sz w:val="20"/>
          <w:szCs w:val="20"/>
        </w:rPr>
        <w:t xml:space="preserve">Extension of the Temporary Exemption from Applying MFRS 9 (Amendments to MFRS 4 Insurance Contracts)</w:t>
      </w:r>
    </w:p>
    <w:p>
      <w:pPr>
        <w:spacing w:after="60" w:before="0" w:line="264"/>
        <w:ind w:left="620"/>
      </w:pPr>
      <w:r>
        <w:rPr>
          <w:rFonts w:ascii="Arial" w:cs="Arial" w:eastAsia="Arial" w:hAnsi="Arial"/>
          <w:b w:val="false"/>
          <w:bCs w:val="false"/>
          <w:i/>
          <w:iCs/>
          <w:sz w:val="20"/>
          <w:szCs w:val="20"/>
        </w:rPr>
        <w:t xml:space="preserve">Classification of Liabilities as Current or Non-current (Amendments to MFRS 101 Presentation of Financial Statements)</w:t>
      </w:r>
    </w:p>
    <w:p>
      <w:pPr>
        <w:spacing w:after="60" w:before="0" w:line="264"/>
        <w:ind w:left="620"/>
      </w:pPr>
      <w:r>
        <w:rPr>
          <w:rFonts w:ascii="Arial" w:cs="Arial" w:eastAsia="Arial" w:hAnsi="Arial"/>
          <w:b w:val="false"/>
          <w:bCs w:val="false"/>
          <w:i/>
          <w:iCs/>
          <w:sz w:val="20"/>
          <w:szCs w:val="20"/>
        </w:rPr>
        <w:t xml:space="preserve">Disclosure of Accounting Policies (Amendments to MFRS 101 Presentation of Financial Statements)</w:t>
      </w:r>
    </w:p>
    <w:p>
      <w:pPr>
        <w:spacing w:after="60" w:before="0" w:line="264"/>
        <w:ind w:left="620"/>
      </w:pPr>
      <w:r>
        <w:rPr>
          <w:rFonts w:ascii="Arial" w:cs="Arial" w:eastAsia="Arial" w:hAnsi="Arial"/>
          <w:b w:val="false"/>
          <w:bCs w:val="false"/>
          <w:i/>
          <w:iCs/>
          <w:sz w:val="20"/>
          <w:szCs w:val="20"/>
        </w:rPr>
        <w:t xml:space="preserve">Definition of Accounting Estimates (Amendments to MFRS 108 Accounting Policies, Changes in Accounting Estimates and Errors)</w:t>
      </w:r>
    </w:p>
    <w:p>
      <w:pPr>
        <w:spacing w:after="60" w:before="0" w:line="264"/>
        <w:ind w:left="620"/>
      </w:pPr>
      <w:r>
        <w:rPr>
          <w:rFonts w:ascii="Arial" w:cs="Arial" w:eastAsia="Arial" w:hAnsi="Arial"/>
          <w:b w:val="false"/>
          <w:bCs w:val="false"/>
          <w:i/>
          <w:iCs/>
          <w:sz w:val="20"/>
          <w:szCs w:val="20"/>
        </w:rPr>
        <w:t xml:space="preserve">Deferred Tax related to Assets and Liabilities arising from a Single Transaction (Amendments to MFRS 112 Income Taxes)</w:t>
      </w:r>
    </w:p>
    <w:p>
      <w:pPr>
        <w:spacing w:after="60" w:before="0" w:line="264"/>
        <w:ind w:left="620"/>
      </w:pPr>
      <w:r>
        <w:rPr>
          <w:rFonts w:ascii="Arial" w:cs="Arial" w:eastAsia="Arial" w:hAnsi="Arial"/>
          <w:b w:val="false"/>
          <w:bCs w:val="false"/>
          <w:i/>
          <w:iCs/>
          <w:sz w:val="20"/>
          <w:szCs w:val="20"/>
        </w:rPr>
        <w:t xml:space="preserve">Initial Application of MFRS 17 and MFRS 9 - Comparative Information (Amendments to MFRS 17 Insurance Contracts)</w:t>
      </w:r>
    </w:p>
    <w:p>
      <w:pPr>
        <w:spacing w:after="140" w:before="0" w:line="264"/>
        <w:ind w:left="620"/>
      </w:pPr>
      <w:r>
        <w:rPr>
          <w:rFonts w:ascii="Arial" w:cs="Arial" w:eastAsia="Arial" w:hAnsi="Arial"/>
          <w:b w:val="false"/>
          <w:bCs w:val="false"/>
          <w:i w:val="false"/>
          <w:iCs w:val="false"/>
          <w:sz w:val="20"/>
          <w:szCs w:val="20"/>
        </w:rPr>
        <w:t xml:space="preserve">The Company plans to adopt the above pronouncements, if applicable when they become effective in the respective financial periods. These pronouncements are expected to have no significant impact to the financial statements of the Company upon its initial application.</w:t>
      </w:r>
    </w:p>
    <w:p>
      <w:pPr>
        <w:tabs>
          <w:tab w:val="left" w:pos="620"/>
        </w:tabs>
        <w:spacing w:after="120" w:before="160" w:line="264"/>
      </w:pPr>
      <w:r>
        <w:rPr>
          <w:rFonts w:ascii="Arial" w:cs="Arial" w:eastAsia="Arial" w:hAnsi="Arial"/>
          <w:b/>
          <w:bCs/>
          <w:i w:val="false"/>
          <w:iCs w:val="false"/>
          <w:sz w:val="20"/>
          <w:szCs w:val="20"/>
        </w:rPr>
        <w:t xml:space="preserve">2.5</w:t>
      </w:r>
      <w:r>
        <w:rPr>
          <w:rFonts w:ascii="Arial" w:cs="Arial" w:eastAsia="Arial" w:hAnsi="Arial"/>
          <w:b/>
          <w:bCs/>
          <w:sz w:val="20"/>
          <w:szCs w:val="20"/>
        </w:rPr>
        <w:t xml:space="preserve">	Summary of significant accounting policies</w:t>
      </w:r>
    </w:p>
    <w:p>
      <w:pPr>
        <w:tabs>
          <w:tab w:val="left" w:pos="1240"/>
        </w:tabs>
        <w:spacing w:after="120" w:before="160" w:line="264"/>
        <w:ind w:left="620"/>
      </w:pPr>
      <w:r>
        <w:rPr>
          <w:rFonts w:ascii="Arial" w:cs="Arial" w:eastAsia="Arial" w:hAnsi="Arial"/>
          <w:b/>
          <w:bCs/>
          <w:i w:val="false"/>
          <w:iCs w:val="false"/>
          <w:sz w:val="20"/>
          <w:szCs w:val="20"/>
        </w:rPr>
        <w:t xml:space="preserve">(a)</w:t>
      </w:r>
      <w:r>
        <w:rPr>
          <w:rFonts w:ascii="Arial" w:cs="Arial" w:eastAsia="Arial" w:hAnsi="Arial"/>
          <w:b/>
          <w:bCs/>
          <w:sz w:val="20"/>
          <w:szCs w:val="20"/>
        </w:rPr>
        <w:t xml:space="preserve">	Cash and cash equivalents</w:t>
      </w:r>
    </w:p>
    <w:p>
      <w:pPr>
        <w:spacing w:after="140" w:before="0" w:line="264"/>
        <w:ind w:left="1240"/>
      </w:pPr>
      <w:r>
        <w:rPr>
          <w:rFonts w:ascii="Arial" w:cs="Arial" w:eastAsia="Arial" w:hAnsi="Arial"/>
          <w:b w:val="false"/>
          <w:bCs w:val="false"/>
          <w:i w:val="false"/>
          <w:iCs w:val="false"/>
          <w:sz w:val="20"/>
          <w:szCs w:val="20"/>
        </w:rPr>
        <w:t xml:space="preserve">Cash and cash equivalents comprise cash at bank, which is subjected to an insignificant risk of change in value and which have original maturity period of 3 months or less.</w:t>
      </w:r>
    </w:p>
    <w:p>
      <w:pPr>
        <w:tabs>
          <w:tab w:val="left" w:pos="1240"/>
        </w:tabs>
        <w:spacing w:after="120" w:before="160" w:line="264"/>
        <w:ind w:left="620"/>
      </w:pPr>
      <w:r>
        <w:rPr>
          <w:rFonts w:ascii="Arial" w:cs="Arial" w:eastAsia="Arial" w:hAnsi="Arial"/>
          <w:b/>
          <w:bCs/>
          <w:i w:val="false"/>
          <w:iCs w:val="false"/>
          <w:sz w:val="20"/>
          <w:szCs w:val="20"/>
        </w:rPr>
        <w:t xml:space="preserve">(b)</w:t>
      </w:r>
      <w:r>
        <w:rPr>
          <w:rFonts w:ascii="Arial" w:cs="Arial" w:eastAsia="Arial" w:hAnsi="Arial"/>
          <w:b/>
          <w:bCs/>
          <w:sz w:val="20"/>
          <w:szCs w:val="20"/>
        </w:rPr>
        <w:t xml:space="preserve">	Financial instruments</w:t>
      </w:r>
    </w:p>
    <w:p>
      <w:pPr>
        <w:tabs>
          <w:tab w:val="left" w:pos="1860"/>
        </w:tabs>
        <w:spacing w:after="120" w:before="160" w:line="264"/>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Classification</w:t>
      </w:r>
    </w:p>
    <w:p>
      <w:pPr>
        <w:spacing w:after="100" w:before="0" w:line="264"/>
        <w:ind w:left="1860"/>
      </w:pPr>
      <w:r>
        <w:rPr>
          <w:rFonts w:ascii="Arial" w:cs="Arial" w:eastAsia="Arial" w:hAnsi="Arial"/>
          <w:b/>
          <w:bCs/>
          <w:i/>
          <w:iCs/>
          <w:sz w:val="20"/>
          <w:szCs w:val="20"/>
        </w:rPr>
        <w:t xml:space="preserve">Financial assets</w:t>
      </w:r>
    </w:p>
    <w:p>
      <w:pPr>
        <w:spacing w:after="140" w:before="0" w:line="264"/>
        <w:ind w:left="1860"/>
      </w:pPr>
      <w:r>
        <w:rPr>
          <w:rFonts w:ascii="Arial" w:cs="Arial" w:eastAsia="Arial" w:hAnsi="Arial"/>
          <w:b w:val="false"/>
          <w:bCs w:val="false"/>
          <w:i w:val="false"/>
          <w:iCs w:val="false"/>
          <w:sz w:val="20"/>
          <w:szCs w:val="20"/>
        </w:rPr>
        <w:t xml:space="preserve">Financial assets are recognised in the statement of financial position when, and only when the Company becomes a party to the contractual provisions of the financial assets. The Company classifies its financial assets as amortised cost.</w:t>
      </w:r>
    </w:p>
    <w:p>
      <w:pPr>
        <w:spacing w:after="140" w:before="0" w:line="264"/>
        <w:ind w:left="1860"/>
      </w:pPr>
      <w:r>
        <w:rPr>
          <w:rFonts w:ascii="Arial" w:cs="Arial" w:eastAsia="Arial" w:hAnsi="Arial"/>
          <w:b w:val="false"/>
          <w:bCs w:val="false"/>
          <w:i w:val="false"/>
          <w:iCs w:val="false"/>
          <w:sz w:val="20"/>
          <w:szCs w:val="20"/>
        </w:rPr>
        <w:t xml:space="preserve">(a) Amortised cost</w:t>
      </w:r>
    </w:p>
    <w:p>
      <w:pPr>
        <w:spacing w:after="140" w:before="0" w:line="264"/>
        <w:ind w:left="2480"/>
      </w:pPr>
      <w:r>
        <w:rPr>
          <w:rFonts w:ascii="Arial" w:cs="Arial" w:eastAsia="Arial" w:hAnsi="Arial"/>
          <w:b w:val="false"/>
          <w:bCs w:val="false"/>
          <w:i w:val="false"/>
          <w:iCs w:val="false"/>
          <w:sz w:val="20"/>
          <w:szCs w:val="20"/>
        </w:rPr>
        <w:t xml:space="preserve">Financial assets are measured at amortised cost if they are held within a business model whose objective is to hold the financial assets in order to collect contractual cash flows which represent solely payments of principal and interest.</w:t>
      </w:r>
    </w:p>
    <w:p>
      <w:pPr>
        <w:spacing w:after="100" w:before="0" w:line="264"/>
        <w:ind w:left="1860"/>
      </w:pPr>
      <w:r>
        <w:rPr>
          <w:rFonts w:ascii="Arial" w:cs="Arial" w:eastAsia="Arial" w:hAnsi="Arial"/>
          <w:b/>
          <w:bCs/>
          <w:i/>
          <w:iCs/>
          <w:sz w:val="20"/>
          <w:szCs w:val="20"/>
        </w:rPr>
        <w:t xml:space="preserve">Financial liabilities</w:t>
      </w:r>
    </w:p>
    <w:p>
      <w:pPr>
        <w:spacing w:after="140" w:before="0" w:line="264"/>
        <w:ind w:left="1860"/>
      </w:pPr>
      <w:r>
        <w:rPr>
          <w:rFonts w:ascii="Arial" w:cs="Arial" w:eastAsia="Arial" w:hAnsi="Arial"/>
          <w:b w:val="false"/>
          <w:bCs w:val="false"/>
          <w:i w:val="false"/>
          <w:iCs w:val="false"/>
          <w:sz w:val="20"/>
          <w:szCs w:val="20"/>
        </w:rPr>
        <w:t xml:space="preserve">(a) Amortised cost</w:t>
      </w:r>
    </w:p>
    <w:p>
      <w:pPr>
        <w:spacing w:after="140" w:before="0" w:line="264"/>
        <w:ind w:left="2480"/>
      </w:pPr>
      <w:r>
        <w:rPr>
          <w:rFonts w:ascii="Arial" w:cs="Arial" w:eastAsia="Arial" w:hAnsi="Arial"/>
          <w:b w:val="false"/>
          <w:bCs w:val="false"/>
          <w:i w:val="false"/>
          <w:iCs w:val="false"/>
          <w:sz w:val="20"/>
          <w:szCs w:val="20"/>
        </w:rPr>
        <w:t xml:space="preserve">Non-derivative financial liabilities that are not held for active trading or designated as FVTPL are classified as non-trading liabilities.</w:t>
      </w:r>
    </w:p>
    <w:p>
      <w:pPr>
        <w:tabs>
          <w:tab w:val="left" w:pos="1860"/>
        </w:tabs>
        <w:spacing w:after="120" w:before="160" w:line="264"/>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Measurement</w:t>
      </w:r>
    </w:p>
    <w:p>
      <w:pPr>
        <w:spacing w:after="100" w:before="0" w:line="264"/>
        <w:ind w:left="1860"/>
      </w:pPr>
      <w:r>
        <w:rPr>
          <w:rFonts w:ascii="Arial" w:cs="Arial" w:eastAsia="Arial" w:hAnsi="Arial"/>
          <w:b/>
          <w:bCs/>
          <w:i/>
          <w:iCs/>
          <w:sz w:val="20"/>
          <w:szCs w:val="20"/>
        </w:rPr>
        <w:t xml:space="preserve">Initial measurement</w:t>
      </w:r>
    </w:p>
    <w:p>
      <w:pPr>
        <w:spacing w:after="140" w:before="0" w:line="264"/>
        <w:ind w:left="1860"/>
      </w:pPr>
      <w:r>
        <w:rPr>
          <w:rFonts w:ascii="Arial" w:cs="Arial" w:eastAsia="Arial" w:hAnsi="Arial"/>
          <w:b w:val="false"/>
          <w:bCs w:val="false"/>
          <w:i w:val="false"/>
          <w:iCs w:val="false"/>
          <w:sz w:val="20"/>
          <w:szCs w:val="20"/>
        </w:rPr>
        <w:t xml:space="preserve">Financial instruments are initially recognised at their fair value plus transaction costs directly attributable to the acquisition or issuance of the instruments.</w:t>
      </w:r>
    </w:p>
    <w:p>
      <w:pPr>
        <w:spacing w:after="100" w:before="0" w:line="264"/>
        <w:ind w:left="1860"/>
      </w:pPr>
      <w:r>
        <w:rPr>
          <w:rFonts w:ascii="Arial" w:cs="Arial" w:eastAsia="Arial" w:hAnsi="Arial"/>
          <w:b/>
          <w:bCs/>
          <w:i/>
          <w:iCs/>
          <w:sz w:val="20"/>
          <w:szCs w:val="20"/>
        </w:rPr>
        <w:t xml:space="preserve">Subsequent measurement</w:t>
      </w:r>
    </w:p>
    <w:p>
      <w:pPr>
        <w:spacing w:after="140" w:before="0" w:line="264"/>
        <w:ind w:left="1860"/>
      </w:pPr>
      <w:r>
        <w:rPr>
          <w:rFonts w:ascii="Arial" w:cs="Arial" w:eastAsia="Arial" w:hAnsi="Arial"/>
          <w:b w:val="false"/>
          <w:bCs w:val="false"/>
          <w:i w:val="false"/>
          <w:iCs w:val="false"/>
          <w:sz w:val="20"/>
          <w:szCs w:val="20"/>
        </w:rPr>
        <w:t xml:space="preserve">(a) Amortised cost</w:t>
      </w:r>
    </w:p>
    <w:p>
      <w:pPr>
        <w:spacing w:after="140" w:before="0" w:line="264"/>
        <w:ind w:left="2480"/>
      </w:pPr>
      <w:r>
        <w:rPr>
          <w:rFonts w:ascii="Arial" w:cs="Arial" w:eastAsia="Arial" w:hAnsi="Arial"/>
          <w:b w:val="false"/>
          <w:bCs w:val="false"/>
          <w:i w:val="false"/>
          <w:iCs w:val="false"/>
          <w:sz w:val="20"/>
          <w:szCs w:val="20"/>
        </w:rPr>
        <w:t xml:space="preserve">Amortised cost financial instruments are measured at amortised cost using the effective interest rate method. Gains/losses are recognised in profit or loss through the amortisation process and when the financial instruments are impaired or derecognised. The policy for impairment of financial assets at amortised cost is described in Note 2.5(b)(iii).</w:t>
      </w:r>
    </w:p>
    <w:p>
      <w:pPr>
        <w:tabs>
          <w:tab w:val="left" w:pos="1860"/>
        </w:tabs>
        <w:spacing w:after="120" w:before="160" w:line="264"/>
        <w:ind w:left="1240"/>
      </w:pPr>
      <w:r>
        <w:rPr>
          <w:rFonts w:ascii="Arial" w:cs="Arial" w:eastAsia="Arial" w:hAnsi="Arial"/>
          <w:b/>
          <w:bCs/>
          <w:i w:val="false"/>
          <w:iCs w:val="false"/>
          <w:sz w:val="20"/>
          <w:szCs w:val="20"/>
        </w:rPr>
        <w:t xml:space="preserve">(iii)</w:t>
      </w:r>
      <w:r>
        <w:rPr>
          <w:rFonts w:ascii="Arial" w:cs="Arial" w:eastAsia="Arial" w:hAnsi="Arial"/>
          <w:b/>
          <w:bCs/>
          <w:sz w:val="20"/>
          <w:szCs w:val="20"/>
        </w:rPr>
        <w:t xml:space="preserve">	Impairment of financial assets</w:t>
      </w:r>
    </w:p>
    <w:p>
      <w:pPr>
        <w:spacing w:after="140" w:before="0" w:line="264"/>
        <w:ind w:left="1860"/>
      </w:pPr>
      <w:r>
        <w:rPr>
          <w:rFonts w:ascii="Arial" w:cs="Arial" w:eastAsia="Arial" w:hAnsi="Arial"/>
          <w:b w:val="false"/>
          <w:bCs w:val="false"/>
          <w:i w:val="false"/>
          <w:iCs w:val="false"/>
          <w:sz w:val="20"/>
          <w:szCs w:val="20"/>
        </w:rPr>
        <w:t xml:space="preserve">The Company assesses at each reporting date whether there is any objective evidence that a financial asset is impaired.</w:t>
      </w:r>
    </w:p>
    <w:p>
      <w:pPr>
        <w:spacing w:after="140" w:before="0" w:line="264"/>
        <w:ind w:left="1860"/>
      </w:pPr>
      <w:r>
        <w:rPr>
          <w:rFonts w:ascii="Arial" w:cs="Arial" w:eastAsia="Arial" w:hAnsi="Arial"/>
          <w:b w:val="false"/>
          <w:bCs w:val="false"/>
          <w:i w:val="false"/>
          <w:iCs w:val="false"/>
          <w:sz w:val="20"/>
          <w:szCs w:val="20"/>
        </w:rPr>
        <w:t xml:space="preserve">The Company recognises an allowance for Expected Credit Losses (“ECL”) for all financial instruments measured at amortised cost. ECL are based on the difference between the contractual cash flows due in accordance with the contract and all the cash flows that the Company expects to receive, discounted at an approximation of the original effective interest rate. For the simplified approach, credit risk is not tracked and a loss allowance based on lifetime ECLs is provided at each reporting date.</w:t>
      </w:r>
    </w:p>
    <w:p>
      <w:pPr>
        <w:tabs>
          <w:tab w:val="left" w:pos="1860"/>
        </w:tabs>
        <w:spacing w:after="120" w:before="160" w:line="264"/>
        <w:ind w:left="1240"/>
      </w:pPr>
      <w:r>
        <w:rPr>
          <w:rFonts w:ascii="Arial" w:cs="Arial" w:eastAsia="Arial" w:hAnsi="Arial"/>
          <w:b/>
          <w:bCs/>
          <w:i w:val="false"/>
          <w:iCs w:val="false"/>
          <w:sz w:val="20"/>
          <w:szCs w:val="20"/>
        </w:rPr>
        <w:t xml:space="preserve">(iv)</w:t>
      </w:r>
      <w:r>
        <w:rPr>
          <w:rFonts w:ascii="Arial" w:cs="Arial" w:eastAsia="Arial" w:hAnsi="Arial"/>
          <w:b/>
          <w:bCs/>
          <w:sz w:val="20"/>
          <w:szCs w:val="20"/>
        </w:rPr>
        <w:t xml:space="preserve">	Recognition and derecognition</w:t>
      </w:r>
    </w:p>
    <w:p>
      <w:pPr>
        <w:spacing w:after="140" w:before="0" w:line="264"/>
        <w:ind w:left="1860"/>
      </w:pPr>
      <w:r>
        <w:rPr>
          <w:rFonts w:ascii="Arial" w:cs="Arial" w:eastAsia="Arial" w:hAnsi="Arial"/>
          <w:b w:val="false"/>
          <w:bCs w:val="false"/>
          <w:i w:val="false"/>
          <w:iCs w:val="false"/>
          <w:sz w:val="20"/>
          <w:szCs w:val="20"/>
        </w:rPr>
        <w:t xml:space="preserve">Financial instruments are recognised when and Company becomes a party to the contractual provision of the instruments. All regular purchases and sales of financial assets that require delivery within the period generally established by regulation or market convention are recognised on the settlement date.</w:t>
      </w:r>
    </w:p>
    <w:p>
      <w:pPr>
        <w:spacing w:after="140" w:before="0" w:line="264"/>
        <w:ind w:left="1860"/>
      </w:pPr>
      <w:r>
        <w:rPr>
          <w:rFonts w:ascii="Arial" w:cs="Arial" w:eastAsia="Arial" w:hAnsi="Arial"/>
          <w:b w:val="false"/>
          <w:bCs w:val="false"/>
          <w:i w:val="false"/>
          <w:iCs w:val="false"/>
          <w:sz w:val="20"/>
          <w:szCs w:val="20"/>
        </w:rPr>
        <w:t xml:space="preserve">Financial instruments are derecognised when the risks and rewards associated with the instruments are substantially transferred/settled, cancelled or expired. On derecognition, the difference between the carrying amount of the instruments and the consideration received/paid, less the cumulative gain or loss that has been recognised in the equity are taken to profit or loss.</w:t>
      </w:r>
    </w:p>
    <w:p>
      <w:pPr>
        <w:tabs>
          <w:tab w:val="left" w:pos="1860"/>
        </w:tabs>
        <w:spacing w:after="120" w:before="160" w:line="264"/>
        <w:ind w:left="1240"/>
      </w:pPr>
      <w:r>
        <w:rPr>
          <w:rFonts w:ascii="Arial" w:cs="Arial" w:eastAsia="Arial" w:hAnsi="Arial"/>
          <w:b/>
          <w:bCs/>
          <w:i w:val="false"/>
          <w:iCs w:val="false"/>
          <w:sz w:val="20"/>
          <w:szCs w:val="20"/>
        </w:rPr>
        <w:t xml:space="preserve">(v)</w:t>
      </w:r>
      <w:r>
        <w:rPr>
          <w:rFonts w:ascii="Arial" w:cs="Arial" w:eastAsia="Arial" w:hAnsi="Arial"/>
          <w:b/>
          <w:bCs/>
          <w:sz w:val="20"/>
          <w:szCs w:val="20"/>
        </w:rPr>
        <w:t xml:space="preserve">	Write-off policy</w:t>
      </w:r>
    </w:p>
    <w:p>
      <w:pPr>
        <w:spacing w:after="140" w:before="0" w:line="264"/>
        <w:ind w:left="1860"/>
      </w:pPr>
      <w:r>
        <w:rPr>
          <w:rFonts w:ascii="Arial" w:cs="Arial" w:eastAsia="Arial" w:hAnsi="Arial"/>
          <w:b w:val="false"/>
          <w:bCs w:val="false"/>
          <w:i w:val="false"/>
          <w:iCs w:val="false"/>
          <w:sz w:val="20"/>
          <w:szCs w:val="20"/>
        </w:rPr>
        <w:t xml:space="preserve">A financial asset is written off when there is no reasonable expectation of recovering the contractual cash flows.</w:t>
      </w:r>
    </w:p>
    <w:p>
      <w:pPr>
        <w:tabs>
          <w:tab w:val="left" w:pos="1240"/>
        </w:tabs>
        <w:spacing w:after="120" w:before="160" w:line="264"/>
        <w:ind w:left="620"/>
      </w:pPr>
      <w:r>
        <w:rPr>
          <w:rFonts w:ascii="Arial" w:cs="Arial" w:eastAsia="Arial" w:hAnsi="Arial"/>
          <w:b/>
          <w:bCs/>
          <w:i w:val="false"/>
          <w:iCs w:val="false"/>
          <w:sz w:val="20"/>
          <w:szCs w:val="20"/>
        </w:rPr>
        <w:t xml:space="preserve">(c)</w:t>
      </w:r>
      <w:r>
        <w:rPr>
          <w:rFonts w:ascii="Arial" w:cs="Arial" w:eastAsia="Arial" w:hAnsi="Arial"/>
          <w:b/>
          <w:bCs/>
          <w:sz w:val="20"/>
          <w:szCs w:val="20"/>
        </w:rPr>
        <w:t xml:space="preserve">	Impairment of non-financial assets</w:t>
      </w:r>
    </w:p>
    <w:p>
      <w:pPr>
        <w:spacing w:after="140" w:before="0" w:line="264"/>
        <w:ind w:left="1240"/>
      </w:pPr>
      <w:r>
        <w:rPr>
          <w:rFonts w:ascii="Arial" w:cs="Arial" w:eastAsia="Arial" w:hAnsi="Arial"/>
          <w:b w:val="false"/>
          <w:bCs w:val="false"/>
          <w:i w:val="false"/>
          <w:iCs w:val="false"/>
          <w:sz w:val="20"/>
          <w:szCs w:val="20"/>
        </w:rPr>
        <w:t xml:space="preserve">The Company assesses at each reporting date whether there is an indication that an asset may be impaired. If any such indication exists, or when an annual impairment assessment for an asset is required, the Company makes an estimate of the asset's recoverable amount.</w:t>
      </w:r>
    </w:p>
    <w:p>
      <w:pPr>
        <w:spacing w:after="140" w:before="0" w:line="264"/>
        <w:ind w:left="1240"/>
      </w:pPr>
      <w:r>
        <w:rPr>
          <w:rFonts w:ascii="Arial" w:cs="Arial" w:eastAsia="Arial" w:hAnsi="Arial"/>
          <w:b w:val="false"/>
          <w:bCs w:val="false"/>
          <w:i w:val="false"/>
          <w:iCs w:val="false"/>
          <w:sz w:val="20"/>
          <w:szCs w:val="20"/>
        </w:rPr>
        <w:t xml:space="preserve">An asset's recoverable amount is the higher of an asset's fair value less costs to sell and its value in use. For the purpose of assessing impairment, assets are grouped at the lowest level for which there are separately identifiable cash flows (cash-generating units (“CGU”)).</w:t>
      </w:r>
    </w:p>
    <w:p>
      <w:pPr>
        <w:spacing w:after="140" w:before="0" w:line="264"/>
        <w:ind w:left="1240"/>
      </w:pPr>
      <w:r>
        <w:rPr>
          <w:rFonts w:ascii="Arial" w:cs="Arial" w:eastAsia="Arial" w:hAnsi="Arial"/>
          <w:b w:val="false"/>
          <w:bCs w:val="false"/>
          <w:i w:val="false"/>
          <w:iCs w:val="false"/>
          <w:sz w:val="20"/>
          <w:szCs w:val="20"/>
        </w:rPr>
        <w:t xml:space="preserve">In assessing value in use, the estimated future cash flows expected to be generated by the asset are discounted to their present value using a pre-tax discount rate that reflects current market assessment of the time value of money and the risks specific to the asset. Where the carrying amount of an asset exceeds its recoverable amount, the asset is written down to its recoverable amount.</w:t>
      </w:r>
    </w:p>
    <w:p>
      <w:pPr>
        <w:spacing w:after="140" w:before="0" w:line="264"/>
        <w:ind w:left="1240"/>
      </w:pPr>
      <w:r>
        <w:rPr>
          <w:rFonts w:ascii="Arial" w:cs="Arial" w:eastAsia="Arial" w:hAnsi="Arial"/>
          <w:b w:val="false"/>
          <w:bCs w:val="false"/>
          <w:i w:val="false"/>
          <w:iCs w:val="false"/>
          <w:sz w:val="20"/>
          <w:szCs w:val="20"/>
        </w:rPr>
        <w:t xml:space="preserve">Impairment losses recognised in respect of a CGU or groups of CGUs are allocated first to reduce the carrying amount of any goodwill allocated to those units or groups of units and then, to reduce the carrying amount of the other assets in the unit or groups of units on a pro-rata basis.</w:t>
      </w:r>
    </w:p>
    <w:p>
      <w:pPr>
        <w:spacing w:after="140" w:before="0" w:line="264"/>
        <w:ind w:left="1240"/>
      </w:pPr>
      <w:r>
        <w:rPr>
          <w:rFonts w:ascii="Arial" w:cs="Arial" w:eastAsia="Arial" w:hAnsi="Arial"/>
          <w:b w:val="false"/>
          <w:bCs w:val="false"/>
          <w:i w:val="false"/>
          <w:iCs w:val="false"/>
          <w:sz w:val="20"/>
          <w:szCs w:val="20"/>
        </w:rPr>
        <w:t xml:space="preserve">In determining fair value less costs of disposal, recent market transactions are taken into account. If no such transactions can be identified, an appropriate valuation model is used. These calculations are corroborated by valuation multiples, quoted share prices for publicly traded companies or other available fair value indicators.</w:t>
      </w:r>
    </w:p>
    <w:p>
      <w:pPr>
        <w:spacing w:after="140" w:before="0" w:line="264"/>
        <w:ind w:left="1240"/>
      </w:pPr>
      <w:r>
        <w:rPr>
          <w:rFonts w:ascii="Arial" w:cs="Arial" w:eastAsia="Arial" w:hAnsi="Arial"/>
          <w:b w:val="false"/>
          <w:bCs w:val="false"/>
          <w:i w:val="false"/>
          <w:iCs w:val="false"/>
          <w:sz w:val="20"/>
          <w:szCs w:val="20"/>
        </w:rPr>
        <w:t xml:space="preserve">Impairment losses are recognised in statement of income and expenditure in the year in which it arises.</w:t>
      </w:r>
    </w:p>
    <w:p>
      <w:pPr>
        <w:spacing w:after="140" w:before="0" w:line="264"/>
        <w:ind w:left="1240"/>
      </w:pPr>
      <w:r>
        <w:rPr>
          <w:rFonts w:ascii="Arial" w:cs="Arial" w:eastAsia="Arial" w:hAnsi="Arial"/>
          <w:b w:val="false"/>
          <w:bCs w:val="false"/>
          <w:i w:val="false"/>
          <w:iCs w:val="false"/>
          <w:sz w:val="20"/>
          <w:szCs w:val="20"/>
        </w:rPr>
        <w:t xml:space="preserve">As assessment is made at each reporting date as to whether there is any indication that previously recognised impairment losses may no longer exist or may have been decreased. A previously recognised impairment loss is reversed only if there has been a change in the estimates used to determine the asset's recoverable amount since the last impairment loss was recognised. If that is the case, the carrying amount of the asset is increased to its recoverable amount. That increase cannot exceed the carrying amount that would have been determined, net of depreciation, had no impairment loss been recognised previously. Such reversal is recognised in income statement.</w:t>
      </w:r>
    </w:p>
    <w:p>
      <w:pPr>
        <w:tabs>
          <w:tab w:val="left" w:pos="1240"/>
        </w:tabs>
        <w:spacing w:after="120" w:before="160" w:line="264"/>
        <w:ind w:left="620"/>
      </w:pPr>
      <w:r>
        <w:rPr>
          <w:rFonts w:ascii="Arial" w:cs="Arial" w:eastAsia="Arial" w:hAnsi="Arial"/>
          <w:b/>
          <w:bCs/>
          <w:i w:val="false"/>
          <w:iCs w:val="false"/>
          <w:sz w:val="20"/>
          <w:szCs w:val="20"/>
        </w:rPr>
        <w:t xml:space="preserve">(d)</w:t>
      </w:r>
      <w:r>
        <w:rPr>
          <w:rFonts w:ascii="Arial" w:cs="Arial" w:eastAsia="Arial" w:hAnsi="Arial"/>
          <w:b/>
          <w:bCs/>
          <w:sz w:val="20"/>
          <w:szCs w:val="20"/>
        </w:rPr>
        <w:t xml:space="preserve">	Leases</w:t>
      </w:r>
    </w:p>
    <w:p>
      <w:pPr>
        <w:spacing w:after="140" w:before="0" w:line="264"/>
        <w:ind w:left="1240"/>
      </w:pPr>
      <w:r>
        <w:rPr>
          <w:rFonts w:ascii="Arial" w:cs="Arial" w:eastAsia="Arial" w:hAnsi="Arial"/>
          <w:b w:val="false"/>
          <w:bCs w:val="false"/>
          <w:i w:val="false"/>
          <w:iCs w:val="false"/>
          <w:sz w:val="20"/>
          <w:szCs w:val="20"/>
        </w:rPr>
        <w:t xml:space="preserve">The Company assesses at contract inception whether a contract is, or contains, a lease. That is, if the contract conveys the right to control the use of an identified asset for a period of time in exchange for consideration.</w:t>
      </w:r>
    </w:p>
    <w:p>
      <w:pPr>
        <w:spacing w:after="100" w:before="0" w:line="264"/>
        <w:ind w:left="1240"/>
      </w:pPr>
      <w:r>
        <w:rPr>
          <w:rFonts w:ascii="Arial" w:cs="Arial" w:eastAsia="Arial" w:hAnsi="Arial"/>
          <w:b/>
          <w:bCs/>
          <w:i/>
          <w:iCs/>
          <w:sz w:val="20"/>
          <w:szCs w:val="20"/>
        </w:rPr>
        <w:t xml:space="preserve">Company as a lessee</w:t>
      </w:r>
    </w:p>
    <w:p>
      <w:pPr>
        <w:spacing w:after="140" w:before="0" w:line="264"/>
        <w:ind w:left="1240"/>
      </w:pPr>
      <w:r>
        <w:rPr>
          <w:rFonts w:ascii="Arial" w:cs="Arial" w:eastAsia="Arial" w:hAnsi="Arial"/>
          <w:b w:val="false"/>
          <w:bCs w:val="false"/>
          <w:i w:val="false"/>
          <w:iCs w:val="false"/>
          <w:sz w:val="20"/>
          <w:szCs w:val="20"/>
        </w:rPr>
        <w:t xml:space="preserve">The Company applies a single recognition and measurement approach for all leases, except for short-term leases and leases of low-value assets. The Company recognises lease liabilities to make lease payments and right-of-use assets representing the right to use the underlying assets.</w:t>
      </w:r>
    </w:p>
    <w:p>
      <w:pPr>
        <w:tabs>
          <w:tab w:val="left" w:pos="1860"/>
        </w:tabs>
        <w:spacing w:after="120" w:before="160" w:line="264"/>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Right-of-use assets</w:t>
      </w:r>
    </w:p>
    <w:p>
      <w:pPr>
        <w:spacing w:after="140" w:before="0" w:line="264"/>
        <w:ind w:left="1860"/>
      </w:pPr>
      <w:r>
        <w:rPr>
          <w:rFonts w:ascii="Arial" w:cs="Arial" w:eastAsia="Arial" w:hAnsi="Arial"/>
          <w:b w:val="false"/>
          <w:bCs w:val="false"/>
          <w:i w:val="false"/>
          <w:iCs w:val="false"/>
          <w:sz w:val="20"/>
          <w:szCs w:val="20"/>
        </w:rPr>
        <w:t xml:space="preserve">The Company has the lease contracts for the buildings. The Company recognises right-of-use asset at the commencement date of the lease (i.e. the date the underlying asset is available for use). Right-of-use asset is measured at cost, less any accumulated depreciation and impairment losses, and adjusted for any remeasurement of lease liability. The cost of right-of-use asset includes the amount of lease liability recognised, initial direct costs incurred, reinstatement costs and lease payments made at or before the commencement date less any lease incentives received. Right-of-use asset is depreciated on a straight-line basis over the shorter of the lease term and the estimated useful lives of the building.</w:t>
      </w:r>
    </w:p>
    <w:p>
      <w:pPr>
        <w:spacing w:after="140" w:before="0" w:line="264"/>
        <w:ind w:left="1860"/>
      </w:pPr>
      <w:r>
        <w:rPr>
          <w:rFonts w:ascii="Arial" w:cs="Arial" w:eastAsia="Arial" w:hAnsi="Arial"/>
          <w:b w:val="false"/>
          <w:bCs w:val="false"/>
          <w:i w:val="false"/>
          <w:iCs w:val="false"/>
          <w:sz w:val="20"/>
          <w:szCs w:val="20"/>
        </w:rPr>
        <w:t xml:space="preserve">If ownership of the leased asset transfers to the Company at the end of the lease term or the cost reflects the exercise of a purchase option, the depreciation is calculated using the estimated useful life of the asset.</w:t>
      </w:r>
    </w:p>
    <w:p>
      <w:pPr>
        <w:spacing w:after="140" w:before="0" w:line="264"/>
        <w:ind w:left="1860"/>
      </w:pPr>
      <w:r>
        <w:rPr>
          <w:rFonts w:ascii="Arial" w:cs="Arial" w:eastAsia="Arial" w:hAnsi="Arial"/>
          <w:b w:val="false"/>
          <w:bCs w:val="false"/>
          <w:i w:val="false"/>
          <w:iCs w:val="false"/>
          <w:sz w:val="20"/>
          <w:szCs w:val="20"/>
        </w:rPr>
        <w:t xml:space="preserve">The right-of-use asset is also subject to impairment as disclosed in Note 2.5(c).</w:t>
      </w:r>
    </w:p>
    <w:p>
      <w:pPr>
        <w:tabs>
          <w:tab w:val="left" w:pos="1860"/>
        </w:tabs>
        <w:spacing w:after="120" w:before="160" w:line="264"/>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Lease liabilities</w:t>
      </w:r>
    </w:p>
    <w:p>
      <w:pPr>
        <w:spacing w:after="140" w:before="0" w:line="264"/>
        <w:ind w:left="1860"/>
      </w:pPr>
      <w:r>
        <w:rPr>
          <w:rFonts w:ascii="Arial" w:cs="Arial" w:eastAsia="Arial" w:hAnsi="Arial"/>
          <w:b w:val="false"/>
          <w:bCs w:val="false"/>
          <w:i w:val="false"/>
          <w:iCs w:val="false"/>
          <w:sz w:val="20"/>
          <w:szCs w:val="20"/>
        </w:rPr>
        <w:t xml:space="preserve">At the commencement date of the lease, the Company recognises lease liabilities measured at the present value of lease payments to be made over the lease term. The lease payments include fixed payments (including in-substance fixed payments) less any lease incentives receivable, variable lease payments that depend on an index or a rate, and amounts expected to be paid under residual value guarantees. The lease payments also include the exercise price of a purchase option reasonably certain to be exercised by the Institute and payments of penalties for terminating the lease, if the lease term reflects the Company exercising the option to terminate. Variable lease payments that do not depend on an index or a rate are recognised as expenses in the period in which the event or condition that triggers the payment occurs.</w:t>
      </w:r>
    </w:p>
    <w:p>
      <w:pPr>
        <w:tabs>
          <w:tab w:val="left" w:pos="1860"/>
        </w:tabs>
        <w:spacing w:after="120" w:before="160" w:line="264"/>
        <w:ind w:left="1240"/>
      </w:pPr>
      <w:r>
        <w:rPr>
          <w:rFonts w:ascii="Arial" w:cs="Arial" w:eastAsia="Arial" w:hAnsi="Arial"/>
          <w:b/>
          <w:bCs/>
          <w:i w:val="false"/>
          <w:iCs w:val="false"/>
          <w:sz w:val="20"/>
          <w:szCs w:val="20"/>
        </w:rPr>
        <w:t xml:space="preserve">(iii)</w:t>
      </w:r>
      <w:r>
        <w:rPr>
          <w:rFonts w:ascii="Arial" w:cs="Arial" w:eastAsia="Arial" w:hAnsi="Arial"/>
          <w:b/>
          <w:bCs/>
          <w:sz w:val="20"/>
          <w:szCs w:val="20"/>
        </w:rPr>
        <w:t xml:space="preserve">	Short-term leases and leases of low-value assets</w:t>
      </w:r>
    </w:p>
    <w:p>
      <w:pPr>
        <w:spacing w:after="140" w:before="0" w:line="264"/>
        <w:ind w:left="1860"/>
      </w:pPr>
      <w:r>
        <w:rPr>
          <w:rFonts w:ascii="Arial" w:cs="Arial" w:eastAsia="Arial" w:hAnsi="Arial"/>
          <w:b w:val="false"/>
          <w:bCs w:val="false"/>
          <w:i w:val="false"/>
          <w:iCs w:val="false"/>
          <w:sz w:val="20"/>
          <w:szCs w:val="20"/>
        </w:rPr>
        <w:t xml:space="preserve">The Company applies the short-term lease recognition exemption to its short-term leases that have a lease term of 12 months or less from the commencement date and do not contain a purchase option. It also applies the lease of low-value assets recognition exemption to leases that are considered to be low value. Lease payments on short-term leases and leases of low-value assets are recognised as expense over the lease term.</w:t>
      </w:r>
    </w:p>
    <w:p>
      <w:pPr>
        <w:tabs>
          <w:tab w:val="left" w:pos="1240"/>
        </w:tabs>
        <w:spacing w:after="120" w:before="160" w:line="264"/>
        <w:ind w:left="620"/>
      </w:pPr>
      <w:r>
        <w:rPr>
          <w:rFonts w:ascii="Arial" w:cs="Arial" w:eastAsia="Arial" w:hAnsi="Arial"/>
          <w:b/>
          <w:bCs/>
          <w:i w:val="false"/>
          <w:iCs w:val="false"/>
          <w:sz w:val="20"/>
          <w:szCs w:val="20"/>
        </w:rPr>
        <w:t xml:space="preserve">(e)</w:t>
      </w:r>
      <w:r>
        <w:rPr>
          <w:rFonts w:ascii="Arial" w:cs="Arial" w:eastAsia="Arial" w:hAnsi="Arial"/>
          <w:b/>
          <w:bCs/>
          <w:sz w:val="20"/>
          <w:szCs w:val="20"/>
        </w:rPr>
        <w:t xml:space="preserve">	Income taxes</w:t>
      </w:r>
    </w:p>
    <w:p>
      <w:pPr>
        <w:tabs>
          <w:tab w:val="left" w:pos="1860"/>
        </w:tabs>
        <w:spacing w:after="120" w:before="160" w:line="264"/>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Current income taxes</w:t>
      </w:r>
    </w:p>
    <w:p>
      <w:pPr>
        <w:spacing w:after="140" w:before="0" w:line="264"/>
        <w:ind w:left="1860"/>
      </w:pPr>
      <w:r>
        <w:rPr>
          <w:rFonts w:ascii="Arial" w:cs="Arial" w:eastAsia="Arial" w:hAnsi="Arial"/>
          <w:b w:val="false"/>
          <w:bCs w:val="false"/>
          <w:i w:val="false"/>
          <w:iCs w:val="false"/>
          <w:sz w:val="20"/>
          <w:szCs w:val="20"/>
        </w:rPr>
        <w:t xml:space="preserve">Current income tax assets and liabilities are measured at the amount expected to be recovered from or paid to the taxation authorities. The tax rates and tax laws used to compute the amount are those that are enacted or substantively enacted at the reporting date in the countries where the Company operates and generate taxable income.</w:t>
      </w:r>
    </w:p>
    <w:p>
      <w:pPr>
        <w:spacing w:after="140" w:before="0" w:line="264"/>
        <w:ind w:left="1860"/>
      </w:pPr>
      <w:r>
        <w:rPr>
          <w:rFonts w:ascii="Arial" w:cs="Arial" w:eastAsia="Arial" w:hAnsi="Arial"/>
          <w:b w:val="false"/>
          <w:bCs w:val="false"/>
          <w:i w:val="false"/>
          <w:iCs w:val="false"/>
          <w:sz w:val="20"/>
          <w:szCs w:val="20"/>
        </w:rPr>
        <w:t xml:space="preserve">Current income tax relating to items recognised directly in equity is recognised in equity and not in the statements of comprehensive income. Management periodically evaluates positions taken in the tax returns with respect to situations in which applicable tax regulations are subject to interpretation and establishes provisions where appropriate.</w:t>
      </w:r>
    </w:p>
    <w:p>
      <w:pPr>
        <w:tabs>
          <w:tab w:val="left" w:pos="1860"/>
        </w:tabs>
        <w:spacing w:after="120" w:before="160" w:line="264"/>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Deferred tax</w:t>
      </w:r>
    </w:p>
    <w:p>
      <w:pPr>
        <w:spacing w:after="140" w:before="0" w:line="264"/>
        <w:ind w:left="1860"/>
      </w:pPr>
      <w:r>
        <w:rPr>
          <w:rFonts w:ascii="Arial" w:cs="Arial" w:eastAsia="Arial" w:hAnsi="Arial"/>
          <w:b w:val="false"/>
          <w:bCs w:val="false"/>
          <w:i w:val="false"/>
          <w:iCs w:val="false"/>
          <w:sz w:val="20"/>
          <w:szCs w:val="20"/>
        </w:rPr>
        <w:t xml:space="preserve">Deferred tax is provided using the liability method on temporary differences between the tax bases of assets and liabilities and their carrying amounts for financial reporting purposes at the reporting date. Deferred tax liabilities are recognised for all taxable temporary differences, except:</w:t>
      </w:r>
    </w:p>
    <w:p>
      <w:pPr>
        <w:spacing w:after="140" w:before="0" w:line="264"/>
        <w:ind w:left="1860"/>
      </w:pPr>
      <w:r>
        <w:rPr>
          <w:rFonts w:ascii="Arial" w:cs="Arial" w:eastAsia="Arial" w:hAnsi="Arial"/>
          <w:b w:val="false"/>
          <w:bCs w:val="false"/>
          <w:i w:val="false"/>
          <w:iCs w:val="false"/>
          <w:sz w:val="20"/>
          <w:szCs w:val="20"/>
        </w:rPr>
        <w:t xml:space="preserve">- When the deferred tax liability arises from the initial recognition of goodwill or an asset or liability in a transaction that is not a business combination and, at the time of the transaction, affects neither the accounting profit nor taxable profit or loss.</w:t>
      </w:r>
    </w:p>
    <w:p>
      <w:pPr>
        <w:spacing w:after="140" w:before="0" w:line="264"/>
        <w:ind w:left="1860"/>
      </w:pPr>
      <w:r>
        <w:rPr>
          <w:rFonts w:ascii="Arial" w:cs="Arial" w:eastAsia="Arial" w:hAnsi="Arial"/>
          <w:b w:val="false"/>
          <w:bCs w:val="false"/>
          <w:i w:val="false"/>
          <w:iCs w:val="false"/>
          <w:sz w:val="20"/>
          <w:szCs w:val="20"/>
        </w:rPr>
        <w:t xml:space="preserve">- In respect of taxable temporary differences associated with investments in subsidiaries, associates and interests in joint arrangements, when the timing of the reversal of the temporary differences can be controlled and it is probable that the temporary differences will not reverse in the foreseeable future.</w:t>
      </w:r>
    </w:p>
    <w:p>
      <w:pPr>
        <w:spacing w:after="140" w:before="0" w:line="264"/>
        <w:ind w:left="1860"/>
      </w:pPr>
      <w:r>
        <w:rPr>
          <w:rFonts w:ascii="Arial" w:cs="Arial" w:eastAsia="Arial" w:hAnsi="Arial"/>
          <w:b w:val="false"/>
          <w:bCs w:val="false"/>
          <w:i w:val="false"/>
          <w:iCs w:val="false"/>
          <w:sz w:val="20"/>
          <w:szCs w:val="20"/>
        </w:rPr>
        <w:t xml:space="preserve">Deferred tax assets are recognised for all deductible temporary differences, the carry forward of unused tax credits and any unused tax losses. Deferred tax assets are recognised to the extent that it is probable that taxable profit will be available against which the deductible temporary differences, and the carry forward of unused tax credits and unused tax losses can be utilised, except:</w:t>
      </w:r>
    </w:p>
    <w:p>
      <w:pPr>
        <w:spacing w:after="140" w:before="0" w:line="264"/>
        <w:ind w:left="1860"/>
      </w:pPr>
      <w:r>
        <w:rPr>
          <w:rFonts w:ascii="Arial" w:cs="Arial" w:eastAsia="Arial" w:hAnsi="Arial"/>
          <w:b w:val="false"/>
          <w:bCs w:val="false"/>
          <w:i w:val="false"/>
          <w:iCs w:val="false"/>
          <w:sz w:val="20"/>
          <w:szCs w:val="20"/>
        </w:rPr>
        <w:t xml:space="preserve">- When the deferred tax asset relating to the deductible temporary difference arises from the initial recognition of an asset or liability in a transaction that is not a business combination and, at the time of the transaction, affects neither the accounting profit nor taxable profit or loss.</w:t>
      </w:r>
    </w:p>
    <w:p>
      <w:pPr>
        <w:spacing w:after="140" w:before="0" w:line="264"/>
        <w:ind w:left="1860"/>
      </w:pPr>
      <w:r>
        <w:rPr>
          <w:rFonts w:ascii="Arial" w:cs="Arial" w:eastAsia="Arial" w:hAnsi="Arial"/>
          <w:b w:val="false"/>
          <w:bCs w:val="false"/>
          <w:i w:val="false"/>
          <w:iCs w:val="false"/>
          <w:sz w:val="20"/>
          <w:szCs w:val="20"/>
        </w:rPr>
        <w:t xml:space="preserve">- In respect of deductible temporary differences associated with investments in subsidiaries, associates and interests in joint arrangements, deferred tax assets are recognised only to the extent that it is probable that the temporary differences will reverse in the foreseeable future and taxable profit will be available against which the temporary differences can be utilised.</w:t>
      </w:r>
    </w:p>
    <w:p>
      <w:pPr>
        <w:spacing w:after="140" w:before="0" w:line="264"/>
        <w:ind w:left="1860"/>
      </w:pPr>
      <w:r>
        <w:rPr>
          <w:rFonts w:ascii="Arial" w:cs="Arial" w:eastAsia="Arial" w:hAnsi="Arial"/>
          <w:b w:val="false"/>
          <w:bCs w:val="false"/>
          <w:i w:val="false"/>
          <w:iCs w:val="false"/>
          <w:sz w:val="20"/>
          <w:szCs w:val="20"/>
        </w:rPr>
        <w:t xml:space="preserve">The carrying amount of deferred tax assets is reviewed at each reporting date and reduced to the extent that it is no longer probable that sufficient taxable profit will be available to allow all or part of the deferred tax asset to be utilised. Unrecognised deferred tax assets are re-assessed at each reporting date and are recognised to the extent that it has become probable that future taxable profits will allow the deferred tax asset to be recovered.</w:t>
      </w:r>
    </w:p>
    <w:p>
      <w:pPr>
        <w:spacing w:after="140" w:before="0" w:line="264"/>
        <w:ind w:left="1860"/>
      </w:pPr>
      <w:r>
        <w:rPr>
          <w:rFonts w:ascii="Arial" w:cs="Arial" w:eastAsia="Arial" w:hAnsi="Arial"/>
          <w:b w:val="false"/>
          <w:bCs w:val="false"/>
          <w:i w:val="false"/>
          <w:iCs w:val="false"/>
          <w:sz w:val="20"/>
          <w:szCs w:val="20"/>
        </w:rPr>
        <w:t xml:space="preserve">Deferred tax assets and liabilities are measured at the tax rates that are expected to apply in the year when the asset is realised or the liability is settled, based on tax rates (and tax laws) that have been enacted or substantively enacted at the reporting date.</w:t>
      </w:r>
    </w:p>
    <w:p>
      <w:pPr>
        <w:spacing w:after="140" w:before="0" w:line="264"/>
        <w:ind w:left="1860"/>
      </w:pPr>
      <w:r>
        <w:rPr>
          <w:rFonts w:ascii="Arial" w:cs="Arial" w:eastAsia="Arial" w:hAnsi="Arial"/>
          <w:b w:val="false"/>
          <w:bCs w:val="false"/>
          <w:i w:val="false"/>
          <w:iCs w:val="false"/>
          <w:sz w:val="20"/>
          <w:szCs w:val="20"/>
        </w:rPr>
        <w:t xml:space="preserve">Deferred tax relating to items recognised outside profit or loss is recognised outside profit or loss. Deferred tax items are recognised in correlation to the underlying transaction either in other comprehensive income (“OCI”) or directly in equity.</w:t>
      </w:r>
    </w:p>
    <w:p>
      <w:pPr>
        <w:spacing w:after="140" w:before="0" w:line="264"/>
        <w:ind w:left="1860"/>
      </w:pPr>
      <w:r>
        <w:rPr>
          <w:rFonts w:ascii="Arial" w:cs="Arial" w:eastAsia="Arial" w:hAnsi="Arial"/>
          <w:b w:val="false"/>
          <w:bCs w:val="false"/>
          <w:i w:val="false"/>
          <w:iCs w:val="false"/>
          <w:sz w:val="20"/>
          <w:szCs w:val="20"/>
        </w:rPr>
        <w:t xml:space="preserve">Deferred tax assets and deferred tax liabilities are offset if a legally enforceable right exists to set off current tax assets against current tax liabilities and the deferred taxes relate to the same taxable entity and the same taxation authority.</w:t>
      </w:r>
    </w:p>
    <w:p>
      <w:pPr>
        <w:tabs>
          <w:tab w:val="left" w:pos="1240"/>
        </w:tabs>
        <w:spacing w:after="120" w:before="160" w:line="264"/>
        <w:ind w:left="620"/>
      </w:pPr>
      <w:r>
        <w:rPr>
          <w:rFonts w:ascii="Arial" w:cs="Arial" w:eastAsia="Arial" w:hAnsi="Arial"/>
          <w:b/>
          <w:bCs/>
          <w:i w:val="false"/>
          <w:iCs w:val="false"/>
          <w:sz w:val="20"/>
          <w:szCs w:val="20"/>
        </w:rPr>
        <w:t xml:space="preserve">(f)</w:t>
      </w:r>
      <w:r>
        <w:rPr>
          <w:rFonts w:ascii="Arial" w:cs="Arial" w:eastAsia="Arial" w:hAnsi="Arial"/>
          <w:b/>
          <w:bCs/>
          <w:sz w:val="20"/>
          <w:szCs w:val="20"/>
        </w:rPr>
        <w:t xml:space="preserve">	Revenue recognition</w:t>
      </w:r>
    </w:p>
    <w:p>
      <w:pPr>
        <w:spacing w:after="140" w:before="0" w:line="264"/>
        <w:ind w:left="1240"/>
      </w:pPr>
      <w:r>
        <w:rPr>
          <w:rFonts w:ascii="Arial" w:cs="Arial" w:eastAsia="Arial" w:hAnsi="Arial"/>
          <w:b w:val="false"/>
          <w:bCs w:val="false"/>
          <w:i w:val="false"/>
          <w:iCs w:val="false"/>
          <w:sz w:val="20"/>
          <w:szCs w:val="20"/>
        </w:rPr>
        <w:t xml:space="preserve">Revenue is recognised at an amount that reflects the consideration to which the Company expects to be entitled when the performance obligation is satisfied.</w:t>
      </w:r>
    </w:p>
    <w:p>
      <w:pPr>
        <w:spacing w:after="140" w:before="0" w:line="264"/>
        <w:ind w:left="1240"/>
      </w:pPr>
      <w:r>
        <w:rPr>
          <w:rFonts w:ascii="Arial" w:cs="Arial" w:eastAsia="Arial" w:hAnsi="Arial"/>
          <w:b w:val="false"/>
          <w:bCs w:val="false"/>
          <w:i w:val="false"/>
          <w:iCs w:val="false"/>
          <w:sz w:val="20"/>
          <w:szCs w:val="20"/>
        </w:rPr>
        <w:t xml:space="preserve">Revenue is recognised to the extent that it is probable that the economic benefits will flow to the Company and the revenue can be reliably measured. Revenue is measured at the fair value of consideration received or receivable.</w:t>
      </w:r>
    </w:p>
    <w:p>
      <w:pPr>
        <w:spacing w:after="100" w:before="0" w:line="264"/>
        <w:ind w:left="1240"/>
      </w:pPr>
      <w:r>
        <w:rPr>
          <w:rFonts w:ascii="Arial" w:cs="Arial" w:eastAsia="Arial" w:hAnsi="Arial"/>
          <w:b/>
          <w:bCs/>
          <w:i/>
          <w:iCs/>
          <w:sz w:val="20"/>
          <w:szCs w:val="20"/>
        </w:rPr>
        <w:t xml:space="preserve">Income from annual subscription fee</w:t>
      </w:r>
    </w:p>
    <w:p>
      <w:pPr>
        <w:spacing w:after="140" w:before="0" w:line="264"/>
        <w:ind w:left="1240"/>
      </w:pPr>
      <w:r>
        <w:rPr>
          <w:rFonts w:ascii="Arial" w:cs="Arial" w:eastAsia="Arial" w:hAnsi="Arial"/>
          <w:b w:val="false"/>
          <w:bCs w:val="false"/>
          <w:i w:val="false"/>
          <w:iCs w:val="false"/>
          <w:sz w:val="20"/>
          <w:szCs w:val="20"/>
        </w:rPr>
        <w:t xml:space="preserve">Income from annual subscription fee is recognised when the performance obligation is fulfilled over the duration of the subscription.</w:t>
      </w:r>
    </w:p>
    <w:p>
      <w:pPr>
        <w:spacing w:after="100" w:before="0" w:line="264"/>
        <w:ind w:left="1240"/>
      </w:pPr>
      <w:r>
        <w:rPr>
          <w:rFonts w:ascii="Arial" w:cs="Arial" w:eastAsia="Arial" w:hAnsi="Arial"/>
          <w:b/>
          <w:bCs/>
          <w:i/>
          <w:iCs/>
          <w:sz w:val="20"/>
          <w:szCs w:val="20"/>
        </w:rPr>
        <w:t xml:space="preserve">Deferred income</w:t>
      </w:r>
    </w:p>
    <w:p>
      <w:pPr>
        <w:spacing w:after="140" w:before="0" w:line="264"/>
        <w:ind w:left="1240"/>
      </w:pPr>
      <w:r>
        <w:rPr>
          <w:rFonts w:ascii="Arial" w:cs="Arial" w:eastAsia="Arial" w:hAnsi="Arial"/>
          <w:b w:val="false"/>
          <w:bCs w:val="false"/>
          <w:i w:val="false"/>
          <w:iCs w:val="false"/>
          <w:sz w:val="20"/>
          <w:szCs w:val="20"/>
        </w:rPr>
        <w:t xml:space="preserve">Annual subscription fees received in advance or due (whichever is earlier) at the reporting date are recognised as deferred income. The income will be recognised in profit or loss from the date of commencement and over the duration of the subscription.</w:t>
      </w:r>
    </w:p>
    <w:p>
      <w:pPr>
        <w:tabs>
          <w:tab w:val="left" w:pos="1240"/>
        </w:tabs>
        <w:spacing w:after="120" w:before="160" w:line="264"/>
        <w:ind w:left="620"/>
      </w:pPr>
      <w:r>
        <w:rPr>
          <w:rFonts w:ascii="Arial" w:cs="Arial" w:eastAsia="Arial" w:hAnsi="Arial"/>
          <w:b/>
          <w:bCs/>
          <w:i w:val="false"/>
          <w:iCs w:val="false"/>
          <w:sz w:val="20"/>
          <w:szCs w:val="20"/>
        </w:rPr>
        <w:t xml:space="preserve">(g)</w:t>
      </w:r>
      <w:r>
        <w:rPr>
          <w:rFonts w:ascii="Arial" w:cs="Arial" w:eastAsia="Arial" w:hAnsi="Arial"/>
          <w:b/>
          <w:bCs/>
          <w:sz w:val="20"/>
          <w:szCs w:val="20"/>
        </w:rPr>
        <w:t xml:space="preserve">	Employee benefits</w:t>
      </w:r>
    </w:p>
    <w:p>
      <w:pPr>
        <w:tabs>
          <w:tab w:val="left" w:pos="1860"/>
        </w:tabs>
        <w:spacing w:after="120" w:before="160" w:line="264"/>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Short-term benefits</w:t>
      </w:r>
    </w:p>
    <w:p>
      <w:pPr>
        <w:spacing w:after="140" w:before="0" w:line="264"/>
        <w:ind w:left="1860"/>
      </w:pPr>
      <w:r>
        <w:rPr>
          <w:rFonts w:ascii="Arial" w:cs="Arial" w:eastAsia="Arial" w:hAnsi="Arial"/>
          <w:b w:val="false"/>
          <w:bCs w:val="false"/>
          <w:i w:val="false"/>
          <w:iCs w:val="false"/>
          <w:sz w:val="20"/>
          <w:szCs w:val="20"/>
        </w:rPr>
        <w:t xml:space="preserve">Wages, salaries, bonuses and social security contributions are recognised as an expense in the financial period in which the associated services are rendered by employees of the Company.</w:t>
      </w:r>
    </w:p>
    <w:p>
      <w:pPr>
        <w:spacing w:after="140" w:before="0" w:line="264"/>
        <w:ind w:left="1860"/>
      </w:pPr>
      <w:r>
        <w:rPr>
          <w:rFonts w:ascii="Arial" w:cs="Arial" w:eastAsia="Arial" w:hAnsi="Arial"/>
          <w:b w:val="false"/>
          <w:bCs w:val="false"/>
          <w:i w:val="false"/>
          <w:iCs w:val="false"/>
          <w:sz w:val="20"/>
          <w:szCs w:val="20"/>
        </w:rPr>
        <w:t xml:space="preserve">Short term accumulating compensated absences such as paid annual leave are recognised when services are rendered by employees that increase their entitlement to future compensated absences, and short term non-accumulating compensated absences such as sick leave are recognised when the absences occur.</w:t>
      </w:r>
    </w:p>
    <w:p>
      <w:pPr>
        <w:tabs>
          <w:tab w:val="left" w:pos="1860"/>
        </w:tabs>
        <w:spacing w:after="120" w:before="160" w:line="264"/>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Defined contribution plan</w:t>
      </w:r>
    </w:p>
    <w:p>
      <w:pPr>
        <w:spacing w:after="140" w:before="0" w:line="264"/>
        <w:ind w:left="1860"/>
      </w:pPr>
      <w:r>
        <w:rPr>
          <w:rFonts w:ascii="Arial" w:cs="Arial" w:eastAsia="Arial" w:hAnsi="Arial"/>
          <w:b w:val="false"/>
          <w:bCs w:val="false"/>
          <w:i w:val="false"/>
          <w:iCs w:val="false"/>
          <w:sz w:val="20"/>
          <w:szCs w:val="20"/>
        </w:rPr>
        <w:t xml:space="preserve">The Company's contributions to defined contribution plan is charged to profit or loss in the period in which the related service is performed. Once the contributions have been paid, the Company has no further liability in respect of the defined contribution plans. As required by law, the Company makes such contributions to the Employees' Provident Fund.</w:t>
      </w:r>
    </w:p>
    <w:p>
      <w:pPr>
        <w:tabs>
          <w:tab w:val="left" w:pos="1240"/>
        </w:tabs>
        <w:spacing w:after="120" w:before="160" w:line="264"/>
        <w:ind w:left="620"/>
      </w:pPr>
      <w:r>
        <w:rPr>
          <w:rFonts w:ascii="Arial" w:cs="Arial" w:eastAsia="Arial" w:hAnsi="Arial"/>
          <w:b/>
          <w:bCs/>
          <w:i w:val="false"/>
          <w:iCs w:val="false"/>
          <w:sz w:val="20"/>
          <w:szCs w:val="20"/>
        </w:rPr>
        <w:t xml:space="preserve">(h)</w:t>
      </w:r>
      <w:r>
        <w:rPr>
          <w:rFonts w:ascii="Arial" w:cs="Arial" w:eastAsia="Arial" w:hAnsi="Arial"/>
          <w:b/>
          <w:bCs/>
          <w:sz w:val="20"/>
          <w:szCs w:val="20"/>
        </w:rPr>
        <w:t xml:space="preserve">	Provisions</w:t>
      </w:r>
    </w:p>
    <w:p>
      <w:pPr>
        <w:spacing w:after="140" w:before="0" w:line="264"/>
        <w:ind w:left="1240"/>
      </w:pPr>
      <w:r>
        <w:rPr>
          <w:rFonts w:ascii="Arial" w:cs="Arial" w:eastAsia="Arial" w:hAnsi="Arial"/>
          <w:b w:val="false"/>
          <w:bCs w:val="false"/>
          <w:i w:val="false"/>
          <w:iCs w:val="false"/>
          <w:sz w:val="20"/>
          <w:szCs w:val="20"/>
        </w:rPr>
        <w:t xml:space="preserve">Provisions are recognised when the Company has a present legal or constructive obligation as a result of past events, when it is probable that an outflow of resources will be required to settle the obligation, and when a reliable estimate of the amount can be made. Provisions are reviewed at each reporting date and adjusted to reflect the current best estimate. Where the effect of the time value of money is material, the amount of a provision is the present value of the expenditure expected to be required to settle the obligation.</w:t>
      </w:r>
    </w:p>
    <w:p>
      <w:pPr>
        <w:tabs>
          <w:tab w:val="left" w:pos="1240"/>
        </w:tabs>
        <w:spacing w:after="120" w:before="160" w:line="264"/>
        <w:ind w:left="62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Fair value measurement</w:t>
      </w:r>
    </w:p>
    <w:p>
      <w:pPr>
        <w:spacing w:after="140" w:before="0" w:line="264"/>
        <w:ind w:left="1240"/>
      </w:pPr>
      <w:r>
        <w:rPr>
          <w:rFonts w:ascii="Arial" w:cs="Arial" w:eastAsia="Arial" w:hAnsi="Arial"/>
          <w:b w:val="false"/>
          <w:bCs w:val="false"/>
          <w:i w:val="false"/>
          <w:iCs w:val="false"/>
          <w:sz w:val="20"/>
          <w:szCs w:val="20"/>
        </w:rPr>
        <w:t xml:space="preserve">Fair value is the price that would be received to sell an asset or paid to transfer a liability in an orderly transaction between market participants at the measurement date. The fair value measurement is based on the presumption that the transaction to sell the asset or transfer the liability takes place either:</w:t>
      </w:r>
    </w:p>
    <w:p>
      <w:pPr>
        <w:spacing w:after="140" w:before="0" w:line="264"/>
        <w:ind w:left="1240"/>
      </w:pPr>
      <w:r>
        <w:rPr>
          <w:rFonts w:ascii="Arial" w:cs="Arial" w:eastAsia="Arial" w:hAnsi="Arial"/>
          <w:b w:val="false"/>
          <w:bCs w:val="false"/>
          <w:i w:val="false"/>
          <w:iCs w:val="false"/>
          <w:sz w:val="20"/>
          <w:szCs w:val="20"/>
        </w:rPr>
        <w:t xml:space="preserve">- In the principal market for the asset or liability, or</w:t>
      </w:r>
    </w:p>
    <w:p>
      <w:pPr>
        <w:spacing w:after="140" w:before="0" w:line="264"/>
        <w:ind w:left="1240"/>
      </w:pPr>
      <w:r>
        <w:rPr>
          <w:rFonts w:ascii="Arial" w:cs="Arial" w:eastAsia="Arial" w:hAnsi="Arial"/>
          <w:b w:val="false"/>
          <w:bCs w:val="false"/>
          <w:i w:val="false"/>
          <w:iCs w:val="false"/>
          <w:sz w:val="20"/>
          <w:szCs w:val="20"/>
        </w:rPr>
        <w:t xml:space="preserve">- In the absence of a principal market, in the most advantageous market for the asset or liability.</w:t>
      </w:r>
    </w:p>
    <w:p>
      <w:pPr>
        <w:spacing w:after="140" w:before="0" w:line="264"/>
        <w:ind w:left="1240"/>
      </w:pPr>
      <w:r>
        <w:rPr>
          <w:rFonts w:ascii="Arial" w:cs="Arial" w:eastAsia="Arial" w:hAnsi="Arial"/>
          <w:b w:val="false"/>
          <w:bCs w:val="false"/>
          <w:i w:val="false"/>
          <w:iCs w:val="false"/>
          <w:sz w:val="20"/>
          <w:szCs w:val="20"/>
        </w:rPr>
        <w:t xml:space="preserve">The principal or the most advantageous market must be accessible to by the Company.</w:t>
      </w:r>
    </w:p>
    <w:p>
      <w:pPr>
        <w:spacing w:after="140" w:before="0" w:line="264"/>
        <w:ind w:left="1240"/>
      </w:pPr>
      <w:r>
        <w:rPr>
          <w:rFonts w:ascii="Arial" w:cs="Arial" w:eastAsia="Arial" w:hAnsi="Arial"/>
          <w:b w:val="false"/>
          <w:bCs w:val="false"/>
          <w:i w:val="false"/>
          <w:iCs w:val="false"/>
          <w:sz w:val="20"/>
          <w:szCs w:val="20"/>
        </w:rPr>
        <w:t xml:space="preserve">The fair value of an asset or a liability is measured using the assumptions that market participants would use when pricing the asset or liability, assuming that market participants act in their economic best interest.</w:t>
      </w:r>
    </w:p>
    <w:p>
      <w:pPr>
        <w:spacing w:after="140" w:before="0" w:line="264"/>
        <w:ind w:left="1240"/>
      </w:pPr>
      <w:r>
        <w:rPr>
          <w:rFonts w:ascii="Arial" w:cs="Arial" w:eastAsia="Arial" w:hAnsi="Arial"/>
          <w:b w:val="false"/>
          <w:bCs w:val="false"/>
          <w:i w:val="false"/>
          <w:iCs w:val="false"/>
          <w:sz w:val="20"/>
          <w:szCs w:val="20"/>
        </w:rPr>
        <w:t xml:space="preserve">A fair value measurement of a non-financial asset takes into account a market participant's ability to generate economic benefits by using the asset in its highest and best use or by selling it to another market participant that would use the asset in its highest and best use.</w:t>
      </w:r>
    </w:p>
    <w:p>
      <w:pPr>
        <w:spacing w:after="140" w:before="0" w:line="264"/>
        <w:ind w:left="1240"/>
      </w:pPr>
      <w:r>
        <w:rPr>
          <w:rFonts w:ascii="Arial" w:cs="Arial" w:eastAsia="Arial" w:hAnsi="Arial"/>
          <w:b w:val="false"/>
          <w:bCs w:val="false"/>
          <w:i w:val="false"/>
          <w:iCs w:val="false"/>
          <w:sz w:val="20"/>
          <w:szCs w:val="20"/>
        </w:rPr>
        <w:t xml:space="preserve">The Company uses valuation techniques that are appropriate in the circumstances and for which sufficient data are available to measure fair value, maximising the use of relevant observable inputs and minimising the use of unobservable inputs.</w:t>
      </w:r>
    </w:p>
    <w:p>
      <w:pPr>
        <w:spacing w:after="140" w:before="0" w:line="264"/>
        <w:ind w:left="1240"/>
      </w:pPr>
      <w:r>
        <w:rPr>
          <w:rFonts w:ascii="Arial" w:cs="Arial" w:eastAsia="Arial" w:hAnsi="Arial"/>
          <w:b w:val="false"/>
          <w:bCs w:val="false"/>
          <w:i w:val="false"/>
          <w:iCs w:val="false"/>
          <w:sz w:val="20"/>
          <w:szCs w:val="20"/>
        </w:rPr>
        <w:t xml:space="preserve">All assets and liabilities for which fair value is measured or disclosed in the financial statements are categorised within the fair value hierarchy, described as follows, based on the lowest level input that is significant to the fair value measurement as a whole:</w:t>
      </w:r>
    </w:p>
    <w:p>
      <w:pPr>
        <w:spacing w:after="140" w:before="0" w:line="264"/>
        <w:ind w:left="1240"/>
      </w:pPr>
      <w:r>
        <w:rPr>
          <w:rFonts w:ascii="Arial" w:cs="Arial" w:eastAsia="Arial" w:hAnsi="Arial"/>
          <w:b w:val="false"/>
          <w:bCs w:val="false"/>
          <w:i w:val="false"/>
          <w:iCs w:val="false"/>
          <w:sz w:val="20"/>
          <w:szCs w:val="20"/>
        </w:rPr>
        <w:t xml:space="preserve">- Level 1 - Quoted (unadjusted) market prices in active markets for identical assets or liabilities</w:t>
      </w:r>
    </w:p>
    <w:p>
      <w:pPr>
        <w:spacing w:after="140" w:before="0" w:line="264"/>
        <w:ind w:left="1240"/>
      </w:pPr>
      <w:r>
        <w:rPr>
          <w:rFonts w:ascii="Arial" w:cs="Arial" w:eastAsia="Arial" w:hAnsi="Arial"/>
          <w:b w:val="false"/>
          <w:bCs w:val="false"/>
          <w:i w:val="false"/>
          <w:iCs w:val="false"/>
          <w:sz w:val="20"/>
          <w:szCs w:val="20"/>
        </w:rPr>
        <w:t xml:space="preserve">- Level 2 - Valuation techniques for which the lowest level input that is significant to the fair value measurement is directly or indirectly observable</w:t>
      </w:r>
    </w:p>
    <w:p>
      <w:pPr>
        <w:spacing w:after="140" w:before="0" w:line="264"/>
        <w:ind w:left="1240"/>
      </w:pPr>
      <w:r>
        <w:rPr>
          <w:rFonts w:ascii="Arial" w:cs="Arial" w:eastAsia="Arial" w:hAnsi="Arial"/>
          <w:b w:val="false"/>
          <w:bCs w:val="false"/>
          <w:i w:val="false"/>
          <w:iCs w:val="false"/>
          <w:sz w:val="20"/>
          <w:szCs w:val="20"/>
        </w:rPr>
        <w:t xml:space="preserve">- Level 3 - Valuation techniques for which the lowest level input that significant to the fair value measurement is unobservable</w:t>
      </w:r>
    </w:p>
    <w:p>
      <w:pPr>
        <w:spacing w:after="140" w:before="0" w:line="264"/>
        <w:ind w:left="1240"/>
      </w:pPr>
      <w:r>
        <w:rPr>
          <w:rFonts w:ascii="Arial" w:cs="Arial" w:eastAsia="Arial" w:hAnsi="Arial"/>
          <w:b w:val="false"/>
          <w:bCs w:val="false"/>
          <w:i w:val="false"/>
          <w:iCs w:val="false"/>
          <w:sz w:val="20"/>
          <w:szCs w:val="20"/>
        </w:rPr>
        <w:t xml:space="preserve">For assets and liabilities that are recognised in the financial statements at fair value on a recurring basis, the Company determines whether transfers have occurred between levels in the hierarchy by re-assessing categorisation (based on the lowest level input that is significant to the fair value measurement as a whole) at the end of each reporting period.</w:t>
      </w:r>
    </w:p>
    <w:p>
      <w:pPr>
        <w:spacing w:after="140" w:before="0" w:line="264"/>
        <w:ind w:left="1240"/>
      </w:pPr>
      <w:r>
        <w:rPr>
          <w:rFonts w:ascii="Arial" w:cs="Arial" w:eastAsia="Arial" w:hAnsi="Arial"/>
          <w:b w:val="false"/>
          <w:bCs w:val="false"/>
          <w:i w:val="false"/>
          <w:iCs w:val="false"/>
          <w:sz w:val="20"/>
          <w:szCs w:val="20"/>
        </w:rPr>
        <w:t xml:space="preserve">The fair value of financial instruments that are actively traded in organised financial markets is determined by reference to quoted market bid prices for assets at the close of business on the reporting date.</w:t>
      </w:r>
    </w:p>
    <w:p>
      <w:pPr>
        <w:spacing w:after="140" w:before="0" w:line="264"/>
        <w:ind w:left="1240"/>
      </w:pPr>
      <w:r>
        <w:rPr>
          <w:rFonts w:ascii="Arial" w:cs="Arial" w:eastAsia="Arial" w:hAnsi="Arial"/>
          <w:b w:val="false"/>
          <w:bCs w:val="false"/>
          <w:i w:val="false"/>
          <w:iCs w:val="false"/>
          <w:sz w:val="20"/>
          <w:szCs w:val="20"/>
        </w:rPr>
        <w:t xml:space="preserve">For financial instruments with no active markets, fair values are established using valuation techniques such as making reference to recent transactions or other comparable financial instruments, discounted cash flows method and option pricing models.</w:t>
      </w:r>
    </w:p>
    <w:p>
      <w:pPr>
        <w:spacing w:after="140" w:before="0" w:line="264"/>
        <w:ind w:left="1240"/>
      </w:pPr>
      <w:r>
        <w:rPr>
          <w:rFonts w:ascii="Arial" w:cs="Arial" w:eastAsia="Arial" w:hAnsi="Arial"/>
          <w:b w:val="false"/>
          <w:bCs w:val="false"/>
          <w:i w:val="false"/>
          <w:iCs w:val="false"/>
          <w:sz w:val="20"/>
          <w:szCs w:val="20"/>
        </w:rPr>
        <w:t xml:space="preserve">For the purpose of fair value disclosures, the Company has determined classes of assets and liabilities on the basis of the nature, characteristics and risks of the asset or liability and the level of the fair value hierarchy as explained above.</w:t>
      </w:r>
    </w:p>
    <w:p>
      <w:pPr>
        <w:tabs>
          <w:tab w:val="left" w:pos="620"/>
        </w:tabs>
        <w:spacing w:after="120" w:before="160" w:line="264"/>
      </w:pPr>
      <w:r>
        <w:rPr>
          <w:rFonts w:ascii="Arial" w:cs="Arial" w:eastAsia="Arial" w:hAnsi="Arial"/>
          <w:b/>
          <w:bCs/>
          <w:i w:val="false"/>
          <w:iCs w:val="false"/>
          <w:sz w:val="20"/>
          <w:szCs w:val="20"/>
        </w:rPr>
        <w:t xml:space="preserve">2.6</w:t>
      </w:r>
      <w:r>
        <w:rPr>
          <w:rFonts w:ascii="Arial" w:cs="Arial" w:eastAsia="Arial" w:hAnsi="Arial"/>
          <w:b/>
          <w:bCs/>
          <w:sz w:val="20"/>
          <w:szCs w:val="20"/>
        </w:rPr>
        <w:t xml:space="preserve">	Significant accounting estimate and judgment</w:t>
      </w:r>
    </w:p>
    <w:p>
      <w:pPr>
        <w:spacing w:after="140" w:before="0" w:line="264"/>
        <w:ind w:left="620"/>
      </w:pPr>
      <w:r>
        <w:rPr>
          <w:rFonts w:ascii="Arial" w:cs="Arial" w:eastAsia="Arial" w:hAnsi="Arial"/>
          <w:b w:val="false"/>
          <w:bCs w:val="false"/>
          <w:i w:val="false"/>
          <w:iCs w:val="false"/>
          <w:sz w:val="20"/>
          <w:szCs w:val="20"/>
        </w:rPr>
        <w:t xml:space="preserve">The preparation of financial statements in accordance with MFRS and IFRS requires the use of certain accounting estimates and exercise of judgments. Estimates and judgments are continually evaluated and are based on past experience, reasonable expectations of future events and other factors.</w:t>
      </w:r>
    </w:p>
    <w:p>
      <w:pPr>
        <w:spacing w:after="140" w:before="0" w:line="264"/>
        <w:ind w:left="620"/>
      </w:pPr>
      <w:r>
        <w:rPr>
          <w:rFonts w:ascii="Arial" w:cs="Arial" w:eastAsia="Arial" w:hAnsi="Arial"/>
          <w:b w:val="false"/>
          <w:bCs w:val="false"/>
          <w:i w:val="false"/>
          <w:iCs w:val="false"/>
          <w:sz w:val="20"/>
          <w:szCs w:val="20"/>
        </w:rPr>
        <w:t xml:space="preserve">No major judgments have been made by management in applying the Company's accounting policies. There are no key assumptions concerning the future and other key sources of estimation uncertainty at the reporting date, that have a significant risk of causing a material adjustment to the carrying amounts of the assets and liabilities within the next financial year.</w:t>
      </w:r>
    </w:p>
    <w:p>
      <w:pPr>
        <w:pStyle w:val="Heading2"/>
        <w:tabs>
          <w:tab w:val="left" w:pos="620"/>
        </w:tabs>
        <w:spacing w:after="160" w:before="260" w:line="264"/>
      </w:pPr>
      <w:r>
        <w:rPr>
          <w:rFonts w:ascii="Arial" w:cs="Arial" w:eastAsia="Arial" w:hAnsi="Arial"/>
          <w:b/>
          <w:bCs/>
          <w:i w:val="false"/>
          <w:iCs w:val="false"/>
          <w:sz w:val="20"/>
          <w:szCs w:val="20"/>
        </w:rPr>
        <w:t xml:space="preserve">3.</w:t>
      </w:r>
      <w:r>
        <w:rPr>
          <w:rFonts w:ascii="Arial" w:cs="Arial" w:eastAsia="Arial" w:hAnsi="Arial"/>
          <w:b/>
          <w:bCs/>
          <w:sz w:val="20"/>
          <w:szCs w:val="20"/>
        </w:rPr>
        <w:t xml:space="preserve">	Right-of-use asset and lease liability</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Right-of-use asset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Addition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226,054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Depreciation</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(34,536)</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191,518</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Lease liability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Non-current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160,404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Current</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36,148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196,552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spacing w:after="140" w:before="0" w:line="264"/>
        <w:ind w:left="620"/>
      </w:pPr>
      <w:r>
        <w:rPr>
          <w:rFonts w:ascii="Arial" w:cs="Arial" w:eastAsia="Arial" w:hAnsi="Arial"/>
          <w:b w:val="false"/>
          <w:bCs w:val="false"/>
          <w:i w:val="false"/>
          <w:iCs w:val="false"/>
          <w:sz w:val="20"/>
          <w:szCs w:val="20"/>
        </w:rPr>
        <w:t xml:space="preserve">The movements of lease liability is as follows: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Addition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226,054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Accretion of interest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6,373</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Lease payment</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(35,875)</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196,552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pStyle w:val="Heading2"/>
        <w:tabs>
          <w:tab w:val="left" w:pos="620"/>
        </w:tabs>
        <w:spacing w:after="160" w:before="260" w:line="264"/>
      </w:pPr>
      <w:r>
        <w:rPr>
          <w:rFonts w:ascii="Arial" w:cs="Arial" w:eastAsia="Arial" w:hAnsi="Arial"/>
          <w:b/>
          <w:bCs/>
          <w:i w:val="false"/>
          <w:iCs w:val="false"/>
          <w:sz w:val="20"/>
          <w:szCs w:val="20"/>
        </w:rPr>
        <w:t xml:space="preserve">4.</w:t>
      </w:r>
      <w:r>
        <w:rPr>
          <w:rFonts w:ascii="Arial" w:cs="Arial" w:eastAsia="Arial" w:hAnsi="Arial"/>
          <w:b/>
          <w:bCs/>
          <w:sz w:val="20"/>
          <w:szCs w:val="20"/>
        </w:rPr>
        <w:t xml:space="preserve">	Office equipment</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Cost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Addition</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8,420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8,420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Accumulated Depreciation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Charge for the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Carrying Amount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w:t>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7,541</w:t>
            </w:r>
          </w:p>
        </w:tc>
        <w:tc>
          <w:tcPr>
            <w:tcBorders>
              <w:top w:val="single" w:color="000000" w:sz="6" w:space="1"/>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pStyle w:val="Heading2"/>
        <w:tabs>
          <w:tab w:val="left" w:pos="620"/>
        </w:tabs>
        <w:spacing w:after="160" w:before="260" w:line="264"/>
      </w:pPr>
      <w:r>
        <w:rPr>
          <w:rFonts w:ascii="Arial" w:cs="Arial" w:eastAsia="Arial" w:hAnsi="Arial"/>
          <w:b/>
          <w:bCs/>
          <w:i w:val="false"/>
          <w:iCs w:val="false"/>
          <w:sz w:val="20"/>
          <w:szCs w:val="20"/>
        </w:rPr>
        <w:t xml:space="preserve">5.</w:t>
      </w:r>
      <w:r>
        <w:rPr>
          <w:rFonts w:ascii="Arial" w:cs="Arial" w:eastAsia="Arial" w:hAnsi="Arial"/>
          <w:b/>
          <w:bCs/>
          <w:sz w:val="20"/>
          <w:szCs w:val="20"/>
        </w:rPr>
        <w:t xml:space="preserve">	Receivables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Financial assets: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Trade receivables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563,125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3,872,500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receivables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5,678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563,125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3,878,178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Less: Allowance for ECL</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(178,750)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Non-financial assets: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Deposits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7,300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Total</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391,675</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bl>
    <w:p>
      <w:pPr>
        <w:spacing w:after="140" w:before="0" w:line="264"/>
        <w:ind w:left="620"/>
      </w:pPr>
      <w:r>
        <w:rPr>
          <w:rFonts w:ascii="Arial" w:cs="Arial" w:eastAsia="Arial" w:hAnsi="Arial"/>
          <w:b w:val="false"/>
          <w:bCs w:val="false"/>
          <w:i w:val="false"/>
          <w:iCs w:val="false"/>
          <w:sz w:val="20"/>
          <w:szCs w:val="20"/>
        </w:rPr>
        <w:t xml:space="preserve">Movements in allowance for ECL on trade receivables are as follows: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Lifetime ECL: credit-impaired</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1 January 2021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Allowances made for the year (Note 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75,000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At 31 December 2021</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178,750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r>
    </w:tbl>
    <w:p>
      <w:pPr>
        <w:spacing w:after="140" w:before="0" w:line="264"/>
        <w:ind w:left="620"/>
      </w:pPr>
      <w:r>
        <w:rPr>
          <w:rFonts w:ascii="Arial" w:cs="Arial" w:eastAsia="Arial" w:hAnsi="Arial"/>
          <w:b w:val="false"/>
          <w:bCs w:val="false"/>
          <w:i w:val="false"/>
          <w:iCs w:val="false"/>
          <w:sz w:val="20"/>
          <w:szCs w:val="20"/>
        </w:rPr>
        <w:t xml:space="preserve">Movements in gross carrying amount for trade receivables are as follows:</w:t>
      </w:r>
    </w:p>
    <w:tbl>
      <w:tblPr>
        <w:tblW w:type="dxa" w:w="9360"/>
        <w:tblBorders>
          <w:top w:val="nil"/>
          <w:left w:val="nil"/>
          <w:bottom w:val="nil"/>
          <w:right w:val="nil"/>
          <w:insideH w:val="nil"/>
          <w:insideV w:val="nil"/>
        </w:tblBorders>
      </w:tblPr>
      <w:tblGrid>
        <w:gridCol w:w="3360"/>
        <w:gridCol w:w="2000"/>
        <w:gridCol w:w="2000"/>
        <w:gridCol w:w="200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Non-credit</w:t>
            </w:r>
          </w:p>
          <w:p>
            <w:pPr>
              <w:spacing w:after="0" w:before="0" w:line="264"/>
              <w:jc w:val="right"/>
            </w:pPr>
            <w:r>
              <w:rPr>
                <w:rFonts w:ascii="Arial" w:cs="Arial" w:eastAsia="Arial" w:hAnsi="Arial"/>
                <w:b/>
                <w:bCs/>
                <w:i w:val="false"/>
                <w:iCs w:val="false"/>
                <w:sz w:val="20"/>
                <w:szCs w:val="20"/>
              </w:rPr>
              <w:t xml:space="preserve">impaired</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Credit</w:t>
            </w:r>
          </w:p>
          <w:p>
            <w:pPr>
              <w:spacing w:after="0" w:before="0" w:line="264"/>
              <w:jc w:val="right"/>
            </w:pPr>
            <w:r>
              <w:rPr>
                <w:rFonts w:ascii="Arial" w:cs="Arial" w:eastAsia="Arial" w:hAnsi="Arial"/>
                <w:b/>
                <w:bCs/>
                <w:i w:val="false"/>
                <w:iCs w:val="false"/>
                <w:sz w:val="20"/>
                <w:szCs w:val="20"/>
              </w:rPr>
              <w:t xml:space="preserve">impaired</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Total</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At 1 January 2020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523,852</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523,852</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Net increase during the financial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3,250,576</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3,354,326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At 31 December 2020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3,878,178</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At 1 January 2021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3,878,178</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Net increase during the financial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(3,390,053)</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75,000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(3,315,053)</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At 31 December 2021</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178,750</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563,125</w:t>
            </w:r>
          </w:p>
        </w:tc>
      </w:tr>
    </w:tbl>
    <w:p>
      <w:pPr>
        <w:pStyle w:val="Heading2"/>
        <w:tabs>
          <w:tab w:val="left" w:pos="620"/>
        </w:tabs>
        <w:spacing w:after="160" w:before="260" w:line="264"/>
      </w:pPr>
      <w:r>
        <w:rPr>
          <w:rFonts w:ascii="Arial" w:cs="Arial" w:eastAsia="Arial" w:hAnsi="Arial"/>
          <w:b/>
          <w:bCs/>
          <w:i w:val="false"/>
          <w:iCs w:val="false"/>
          <w:sz w:val="20"/>
          <w:szCs w:val="20"/>
        </w:rPr>
        <w:t xml:space="preserve">6.</w:t>
      </w:r>
      <w:r>
        <w:rPr>
          <w:rFonts w:ascii="Arial" w:cs="Arial" w:eastAsia="Arial" w:hAnsi="Arial"/>
          <w:b/>
          <w:bCs/>
          <w:sz w:val="20"/>
          <w:szCs w:val="20"/>
        </w:rPr>
        <w:t xml:space="preserve">	Cash and bank balances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Cash and bank balances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r>
    </w:tbl>
    <w:p>
      <w:pPr>
        <w:pStyle w:val="Heading2"/>
        <w:tabs>
          <w:tab w:val="left" w:pos="620"/>
        </w:tabs>
        <w:spacing w:after="160" w:before="260" w:line="264"/>
      </w:pPr>
      <w:r>
        <w:rPr>
          <w:rFonts w:ascii="Arial" w:cs="Arial" w:eastAsia="Arial" w:hAnsi="Arial"/>
          <w:b/>
          <w:bCs/>
          <w:i w:val="false"/>
          <w:iCs w:val="false"/>
          <w:sz w:val="20"/>
          <w:szCs w:val="20"/>
        </w:rPr>
        <w:t xml:space="preserve">7.</w:t>
      </w:r>
      <w:r>
        <w:rPr>
          <w:rFonts w:ascii="Arial" w:cs="Arial" w:eastAsia="Arial" w:hAnsi="Arial"/>
          <w:b/>
          <w:bCs/>
          <w:sz w:val="20"/>
          <w:szCs w:val="20"/>
        </w:rPr>
        <w:t xml:space="preserve">	Deferred income</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Deferred income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3,993,750</w:t>
            </w:r>
          </w:p>
        </w:tc>
      </w:tr>
    </w:tbl>
    <w:p>
      <w:pPr>
        <w:spacing w:after="140" w:before="0" w:line="264"/>
        <w:ind w:left="620"/>
      </w:pPr>
      <w:r>
        <w:rPr>
          <w:rFonts w:ascii="Arial" w:cs="Arial" w:eastAsia="Arial" w:hAnsi="Arial"/>
          <w:b w:val="false"/>
          <w:bCs w:val="false"/>
          <w:i w:val="false"/>
          <w:iCs w:val="false"/>
          <w:sz w:val="20"/>
          <w:szCs w:val="20"/>
        </w:rPr>
        <w:t xml:space="preserve">These are advance considerations received from financial institutions for annual subscription fees which will be recognised in profit or loss during the current calendar year.</w:t>
      </w:r>
    </w:p>
    <w:p>
      <w:pPr>
        <w:pStyle w:val="Heading2"/>
        <w:tabs>
          <w:tab w:val="left" w:pos="620"/>
        </w:tabs>
        <w:spacing w:after="160" w:before="260" w:line="264"/>
      </w:pPr>
      <w:r>
        <w:rPr>
          <w:rFonts w:ascii="Arial" w:cs="Arial" w:eastAsia="Arial" w:hAnsi="Arial"/>
          <w:b/>
          <w:bCs/>
          <w:i w:val="false"/>
          <w:iCs w:val="false"/>
          <w:sz w:val="20"/>
          <w:szCs w:val="20"/>
        </w:rPr>
        <w:t xml:space="preserve">8.</w:t>
      </w:r>
      <w:r>
        <w:rPr>
          <w:rFonts w:ascii="Arial" w:cs="Arial" w:eastAsia="Arial" w:hAnsi="Arial"/>
          <w:b/>
          <w:bCs/>
          <w:sz w:val="20"/>
          <w:szCs w:val="20"/>
        </w:rPr>
        <w:t xml:space="preserve">	Other payables and accruals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Financial liabilities: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payables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2,809</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1,537</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Accrued bonus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128,400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112,569</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Accruals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270,713</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164,065</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bl>
    <w:p>
      <w:pPr>
        <w:spacing w:after="140" w:before="0" w:line="264"/>
        <w:ind w:left="620"/>
      </w:pPr>
      <w:r>
        <w:rPr>
          <w:rFonts w:ascii="Arial" w:cs="Arial" w:eastAsia="Arial" w:hAnsi="Arial"/>
          <w:b w:val="false"/>
          <w:bCs w:val="false"/>
          <w:i w:val="false"/>
          <w:iCs w:val="false"/>
          <w:sz w:val="20"/>
          <w:szCs w:val="20"/>
        </w:rPr>
        <w:t xml:space="preserve">The financial liabilities are unsecured, non-interest bearing and are repayable in the short-term.</w:t>
      </w:r>
    </w:p>
    <w:p>
      <w:pPr>
        <w:pStyle w:val="Heading2"/>
        <w:tabs>
          <w:tab w:val="left" w:pos="620"/>
        </w:tabs>
        <w:spacing w:after="160" w:before="260" w:line="264"/>
      </w:pPr>
      <w:r>
        <w:rPr>
          <w:rFonts w:ascii="Arial" w:cs="Arial" w:eastAsia="Arial" w:hAnsi="Arial"/>
          <w:b/>
          <w:bCs/>
          <w:i w:val="false"/>
          <w:iCs w:val="false"/>
          <w:sz w:val="20"/>
          <w:szCs w:val="20"/>
        </w:rPr>
        <w:t xml:space="preserve">9.</w:t>
      </w:r>
      <w:r>
        <w:rPr>
          <w:rFonts w:ascii="Arial" w:cs="Arial" w:eastAsia="Arial" w:hAnsi="Arial"/>
          <w:b/>
          <w:bCs/>
          <w:sz w:val="20"/>
          <w:szCs w:val="20"/>
        </w:rPr>
        <w:t xml:space="preserve">	Income</w:t>
      </w:r>
    </w:p>
    <w:p>
      <w:pPr>
        <w:spacing w:after="140" w:before="0" w:line="264"/>
        <w:ind w:left="620"/>
      </w:pPr>
      <w:r>
        <w:rPr>
          <w:rFonts w:ascii="Arial" w:cs="Arial" w:eastAsia="Arial" w:hAnsi="Arial"/>
          <w:b w:val="false"/>
          <w:bCs w:val="false"/>
          <w:i w:val="false"/>
          <w:iCs w:val="false"/>
          <w:sz w:val="20"/>
          <w:szCs w:val="20"/>
        </w:rPr>
        <w:t xml:space="preserve">Income represents annual subscription fees contributed by the members.</w:t>
      </w:r>
    </w:p>
    <w:p>
      <w:pPr>
        <w:pStyle w:val="Heading2"/>
        <w:tabs>
          <w:tab w:val="left" w:pos="620"/>
        </w:tabs>
        <w:spacing w:after="160" w:before="260" w:line="264"/>
      </w:pPr>
      <w:r>
        <w:rPr>
          <w:rFonts w:ascii="Arial" w:cs="Arial" w:eastAsia="Arial" w:hAnsi="Arial"/>
          <w:b/>
          <w:bCs/>
          <w:i w:val="false"/>
          <w:iCs w:val="false"/>
          <w:sz w:val="20"/>
          <w:szCs w:val="20"/>
        </w:rPr>
        <w:t xml:space="preserve">10.</w:t>
      </w:r>
      <w:r>
        <w:rPr>
          <w:rFonts w:ascii="Arial" w:cs="Arial" w:eastAsia="Arial" w:hAnsi="Arial"/>
          <w:b/>
          <w:bCs/>
          <w:sz w:val="20"/>
          <w:szCs w:val="20"/>
        </w:rPr>
        <w:t xml:space="preserve">	Surplus of income over expenditure before taxation</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Surplus of income before taxation is arrived at after</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charging:</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Auditors' remuneration: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480"/>
            </w:pPr>
            <w:r>
              <w:rPr>
                <w:rFonts w:ascii="Arial" w:cs="Arial" w:eastAsia="Arial" w:hAnsi="Arial"/>
                <w:b w:val="false"/>
                <w:bCs w:val="false"/>
                <w:i w:val="false"/>
                <w:iCs w:val="false"/>
                <w:sz w:val="20"/>
                <w:szCs w:val="20"/>
              </w:rPr>
              <w:t xml:space="preserve">- Statutory audit fee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5,500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5,500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Chief Executive Officer's fee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420,000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420,000</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Allowance for ECL (Note 5)</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75,000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103,750</w:t>
            </w:r>
          </w:p>
        </w:tc>
      </w:tr>
    </w:tbl>
    <w:p>
      <w:pPr>
        <w:pStyle w:val="Heading2"/>
        <w:tabs>
          <w:tab w:val="left" w:pos="620"/>
        </w:tabs>
        <w:spacing w:after="160" w:before="260" w:line="264"/>
      </w:pPr>
      <w:r>
        <w:rPr>
          <w:rFonts w:ascii="Arial" w:cs="Arial" w:eastAsia="Arial" w:hAnsi="Arial"/>
          <w:b/>
          <w:bCs/>
          <w:i w:val="false"/>
          <w:iCs w:val="false"/>
          <w:sz w:val="20"/>
          <w:szCs w:val="20"/>
        </w:rPr>
        <w:t xml:space="preserve">11.</w:t>
      </w:r>
      <w:r>
        <w:rPr>
          <w:rFonts w:ascii="Arial" w:cs="Arial" w:eastAsia="Arial" w:hAnsi="Arial"/>
          <w:b/>
          <w:bCs/>
          <w:sz w:val="20"/>
          <w:szCs w:val="20"/>
        </w:rPr>
        <w:t xml:space="preserve">	Taxation</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Current tax expense: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Income tax expense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for the financial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spacing w:after="140" w:before="0" w:line="264"/>
        <w:ind w:left="620"/>
      </w:pPr>
      <w:r>
        <w:rPr>
          <w:rFonts w:ascii="Arial" w:cs="Arial" w:eastAsia="Arial" w:hAnsi="Arial"/>
          <w:b w:val="false"/>
          <w:bCs w:val="false"/>
          <w:i w:val="false"/>
          <w:iCs w:val="false"/>
          <w:sz w:val="20"/>
          <w:szCs w:val="20"/>
        </w:rPr>
        <w:t xml:space="preserve">A reconciliation of income tax expense applicable to the (deficit)/surplus of income over expenditure before taxation at the statutory tax rate to income tax expense at the effective tax rate of the Company is as follows:</w:t>
      </w:r>
    </w:p>
    <w:tbl>
      <w:tblPr>
        <w:tblW w:type="dxa" w:w="9360"/>
        <w:tblBorders>
          <w:top w:val="nil"/>
          <w:left w:val="nil"/>
          <w:bottom w:val="nil"/>
          <w:right w:val="nil"/>
          <w:insideH w:val="nil"/>
          <w:insideV w:val="nil"/>
        </w:tblBorders>
      </w:tblPr>
      <w:tblGrid>
        <w:gridCol w:w="486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(Deficit)/surplus of income over expenditure before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taxation</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(1,963,112)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1,499,074</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Income tax at Malaysian statutory</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rate of 24% (2020: 24%)</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(471,147)</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419,647</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Non-deductible expenditure/(tax-exempt income)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471,147</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(419,647)</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Income tax expense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for the financial year</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r>
    </w:tbl>
    <w:p>
      <w:pPr>
        <w:spacing w:after="140" w:before="0" w:line="264"/>
        <w:ind w:left="620"/>
      </w:pPr>
      <w:r>
        <w:rPr>
          <w:rFonts w:ascii="Arial" w:cs="Arial" w:eastAsia="Arial" w:hAnsi="Arial"/>
          <w:b w:val="false"/>
          <w:bCs w:val="false"/>
          <w:i w:val="false"/>
          <w:iCs w:val="false"/>
          <w:sz w:val="20"/>
          <w:szCs w:val="20"/>
        </w:rPr>
        <w:t xml:space="preserve">The Company is not subject to tax as it has been granted tax exemption by the Ministry of Finance due to its project that is considered as national interest under subsection 44(11C) of Income Tax Act 1967 for the period of three (3) years starting from the year of assessment 2019 until 2021 with a contribution limited to RM12,500,000 only.</w:t>
      </w:r>
    </w:p>
    <w:p>
      <w:pPr>
        <w:pStyle w:val="Heading2"/>
        <w:tabs>
          <w:tab w:val="left" w:pos="620"/>
        </w:tabs>
        <w:spacing w:after="160" w:before="260" w:line="264"/>
      </w:pPr>
      <w:r>
        <w:rPr>
          <w:rFonts w:ascii="Arial" w:cs="Arial" w:eastAsia="Arial" w:hAnsi="Arial"/>
          <w:b/>
          <w:bCs/>
          <w:i w:val="false"/>
          <w:iCs w:val="false"/>
          <w:sz w:val="20"/>
          <w:szCs w:val="20"/>
        </w:rPr>
        <w:t xml:space="preserve">12.</w:t>
      </w:r>
      <w:r>
        <w:rPr>
          <w:rFonts w:ascii="Arial" w:cs="Arial" w:eastAsia="Arial" w:hAnsi="Arial"/>
          <w:b/>
          <w:bCs/>
          <w:sz w:val="20"/>
          <w:szCs w:val="20"/>
        </w:rPr>
        <w:t xml:space="preserve">	Financial instruments</w:t>
      </w:r>
    </w:p>
    <w:p>
      <w:pPr>
        <w:spacing w:after="120" w:before="0" w:line="264"/>
        <w:ind w:left="620"/>
      </w:pPr>
      <w:r>
        <w:rPr>
          <w:rFonts w:ascii="Arial" w:cs="Arial" w:eastAsia="Arial" w:hAnsi="Arial"/>
          <w:b/>
          <w:bCs/>
          <w:i w:val="false"/>
          <w:iCs w:val="false"/>
          <w:sz w:val="20"/>
          <w:szCs w:val="20"/>
        </w:rPr>
        <w:t xml:space="preserve">Categorisation of financial instruments and fair values</w:t>
      </w:r>
    </w:p>
    <w:p>
      <w:pPr>
        <w:spacing w:after="140" w:before="0" w:line="264"/>
        <w:ind w:left="620"/>
      </w:pPr>
      <w:r>
        <w:rPr>
          <w:rFonts w:ascii="Arial" w:cs="Arial" w:eastAsia="Arial" w:hAnsi="Arial"/>
          <w:b w:val="false"/>
          <w:bCs w:val="false"/>
          <w:i w:val="false"/>
          <w:iCs w:val="false"/>
          <w:sz w:val="20"/>
          <w:szCs w:val="20"/>
        </w:rPr>
        <w:t xml:space="preserve">The carrying amounts of the following financial instruments approximate their respective fair values due to their relatively short term maturity.</w:t>
      </w:r>
    </w:p>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Financial assets - amortised cost</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Receivables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620"/>
            </w:pPr>
            <w:r>
              <w:rPr>
                <w:rFonts w:ascii="Arial" w:cs="Arial" w:eastAsia="Arial" w:hAnsi="Arial"/>
                <w:b w:val="false"/>
                <w:bCs w:val="false"/>
                <w:i w:val="false"/>
                <w:iCs w:val="false"/>
                <w:sz w:val="20"/>
                <w:szCs w:val="20"/>
              </w:rPr>
              <w:t xml:space="preserve">(excluding non-financial assets)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Cash and bank balances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6</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2,935,379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8,778,297</w:t>
            </w:r>
          </w:p>
        </w:tc>
      </w:tr>
    </w:tbl>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31.12.2021</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31.12.2020</w:t>
            </w:r>
          </w:p>
          <w:p>
            <w:pPr>
              <w:spacing w:after="0" w:before="0" w:line="264"/>
              <w:jc w:val="right"/>
            </w:pPr>
            <w:r>
              <w:rPr>
                <w:rFonts w:ascii="Arial" w:cs="Arial" w:eastAsia="Arial" w:hAnsi="Arial"/>
                <w:b/>
                <w:bCs/>
                <w:i w:val="false"/>
                <w:iCs w:val="false"/>
                <w:sz w:val="20"/>
                <w:szCs w:val="20"/>
              </w:rPr>
              <w:t xml:space="preserve">RM</w:t>
            </w:r>
          </w:p>
          <w:p>
            <w:pPr>
              <w:spacing w:after="0" w:before="0" w:line="264"/>
              <w:jc w:val="right"/>
            </w:pPr>
            <w:r>
              <w:rPr>
                <w:rFonts w:ascii="Arial" w:cs="Arial" w:eastAsia="Arial" w:hAnsi="Arial"/>
                <w:b/>
                <w:bCs/>
                <w:i w:val="false"/>
                <w:iCs w:val="false"/>
                <w:sz w:val="20"/>
                <w:szCs w:val="20"/>
              </w:rPr>
              <w:t xml:space="preserve">(restated)</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Financial liabilities - amortised cost</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payables and accruals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bl>
    <w:p>
      <w:pPr>
        <w:pStyle w:val="Heading2"/>
        <w:tabs>
          <w:tab w:val="left" w:pos="620"/>
        </w:tabs>
        <w:spacing w:after="160" w:before="260" w:line="264"/>
      </w:pPr>
      <w:r>
        <w:rPr>
          <w:rFonts w:ascii="Arial" w:cs="Arial" w:eastAsia="Arial" w:hAnsi="Arial"/>
          <w:b/>
          <w:bCs/>
          <w:i w:val="false"/>
          <w:iCs w:val="false"/>
          <w:sz w:val="20"/>
          <w:szCs w:val="20"/>
        </w:rPr>
        <w:t xml:space="preserve">13.</w:t>
      </w:r>
      <w:r>
        <w:rPr>
          <w:rFonts w:ascii="Arial" w:cs="Arial" w:eastAsia="Arial" w:hAnsi="Arial"/>
          <w:b/>
          <w:bCs/>
          <w:sz w:val="20"/>
          <w:szCs w:val="20"/>
        </w:rPr>
        <w:t xml:space="preserve">	Financial risk management objectives and policies</w:t>
      </w:r>
    </w:p>
    <w:p>
      <w:pPr>
        <w:spacing w:after="140" w:before="0" w:line="264"/>
        <w:ind w:left="620"/>
      </w:pPr>
      <w:r>
        <w:rPr>
          <w:rFonts w:ascii="Arial" w:cs="Arial" w:eastAsia="Arial" w:hAnsi="Arial"/>
          <w:b w:val="false"/>
          <w:bCs w:val="false"/>
          <w:i w:val="false"/>
          <w:iCs w:val="false"/>
          <w:sz w:val="20"/>
          <w:szCs w:val="20"/>
        </w:rPr>
        <w:t xml:space="preserve">The Company is exposed to various risks in relation to financial instruments. The Company's financial assets and liabilities by category are summarised in Note 12 to the financial statements respectively. The main types of risks are credit risk, liquidity risk and interest rate risk.</w:t>
      </w:r>
    </w:p>
    <w:p>
      <w:pPr>
        <w:spacing w:after="140" w:before="0" w:line="264"/>
        <w:ind w:left="620"/>
      </w:pPr>
      <w:r>
        <w:rPr>
          <w:rFonts w:ascii="Arial" w:cs="Arial" w:eastAsia="Arial" w:hAnsi="Arial"/>
          <w:b w:val="false"/>
          <w:bCs w:val="false"/>
          <w:i w:val="false"/>
          <w:iCs w:val="false"/>
          <w:sz w:val="20"/>
          <w:szCs w:val="20"/>
        </w:rPr>
        <w:t xml:space="preserve">Financial risk management policy is established to ensure that adequate resources are available for the development of the Company's business whilst managing its credit risk and liquidity risk. The Company operates within clearly defined policies and procedures that are approved by the Board of Directors to ensure the effectiveness of the risk management process.</w:t>
      </w:r>
    </w:p>
    <w:p>
      <w:pPr>
        <w:spacing w:after="120" w:before="120" w:line="264"/>
        <w:ind w:left="620"/>
      </w:pPr>
      <w:r>
        <w:rPr>
          <w:rFonts w:ascii="Arial" w:cs="Arial" w:eastAsia="Arial" w:hAnsi="Arial"/>
          <w:b/>
          <w:bCs/>
          <w:i w:val="false"/>
          <w:iCs w:val="false"/>
          <w:sz w:val="20"/>
          <w:szCs w:val="20"/>
        </w:rPr>
        <w:t xml:space="preserve">Credit risk</w:t>
      </w:r>
    </w:p>
    <w:p>
      <w:pPr>
        <w:spacing w:after="140" w:before="0" w:line="264"/>
        <w:ind w:left="620"/>
      </w:pPr>
      <w:r>
        <w:rPr>
          <w:rFonts w:ascii="Arial" w:cs="Arial" w:eastAsia="Arial" w:hAnsi="Arial"/>
          <w:b w:val="false"/>
          <w:bCs w:val="false"/>
          <w:i w:val="false"/>
          <w:iCs w:val="false"/>
          <w:sz w:val="20"/>
          <w:szCs w:val="20"/>
        </w:rPr>
        <w:t xml:space="preserve">Credit risk is the risk of loss that may arise on outstanding financial instruments should a counterparty default on its obligation. The Company's credit risk arises primarily from its trade receivables and non-trade receivables. For other financial asset such as cash and bank balances, the Company minimises credit risk by dealing with reputable financial institutions with sound credit rating and no history of default.</w:t>
      </w:r>
    </w:p>
    <w:p>
      <w:pPr>
        <w:tabs>
          <w:tab w:val="left" w:pos="1240"/>
        </w:tabs>
        <w:spacing w:after="120" w:before="160" w:line="264"/>
        <w:ind w:left="62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Maximum exposure to credit risk</w:t>
      </w:r>
    </w:p>
    <w:p>
      <w:pPr>
        <w:spacing w:after="140" w:before="0" w:line="264"/>
        <w:ind w:left="1240"/>
      </w:pPr>
      <w:r>
        <w:rPr>
          <w:rFonts w:ascii="Arial" w:cs="Arial" w:eastAsia="Arial" w:hAnsi="Arial"/>
          <w:b w:val="false"/>
          <w:bCs w:val="false"/>
          <w:i w:val="false"/>
          <w:iCs w:val="false"/>
          <w:sz w:val="20"/>
          <w:szCs w:val="20"/>
        </w:rPr>
        <w:t xml:space="preserve">The maximum amount of exposure to credit risk arising from the Company's trade receivables, non-trade receivables and cash and bank balances equal to the carrying amount of these financial assets on the statement of financial position.</w:t>
      </w:r>
    </w:p>
    <w:p>
      <w:pPr>
        <w:tabs>
          <w:tab w:val="left" w:pos="1240"/>
        </w:tabs>
        <w:spacing w:after="120" w:before="160" w:line="264"/>
        <w:ind w:left="62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Expected credit loss measurement</w:t>
      </w:r>
    </w:p>
    <w:p>
      <w:pPr>
        <w:tabs>
          <w:tab w:val="left" w:pos="1860"/>
        </w:tabs>
        <w:spacing w:after="120" w:before="160" w:line="264"/>
        <w:ind w:left="1240"/>
      </w:pPr>
      <w:r>
        <w:rPr>
          <w:rFonts w:ascii="Arial" w:cs="Arial" w:eastAsia="Arial" w:hAnsi="Arial"/>
          <w:b/>
          <w:bCs/>
          <w:i w:val="false"/>
          <w:iCs w:val="false"/>
          <w:sz w:val="20"/>
          <w:szCs w:val="20"/>
        </w:rPr>
        <w:t xml:space="preserve">(i)</w:t>
      </w:r>
      <w:r>
        <w:rPr>
          <w:rFonts w:ascii="Arial" w:cs="Arial" w:eastAsia="Arial" w:hAnsi="Arial"/>
          <w:b/>
          <w:bCs/>
          <w:sz w:val="20"/>
          <w:szCs w:val="20"/>
        </w:rPr>
        <w:t xml:space="preserve">	Definition of default</w:t>
      </w:r>
    </w:p>
    <w:p>
      <w:pPr>
        <w:spacing w:after="140" w:before="0" w:line="264"/>
        <w:ind w:left="1860"/>
      </w:pPr>
      <w:r>
        <w:rPr>
          <w:rFonts w:ascii="Arial" w:cs="Arial" w:eastAsia="Arial" w:hAnsi="Arial"/>
          <w:b w:val="false"/>
          <w:bCs w:val="false"/>
          <w:i w:val="false"/>
          <w:iCs w:val="false"/>
          <w:sz w:val="20"/>
          <w:szCs w:val="20"/>
        </w:rPr>
        <w:t xml:space="preserve">The Company considers a financial asset in default when contractual payments are 90 days past due. However, in certain cases, the Company may also consider a financial asset and contract asset to be in default when internal or external information indicates that the Company is unlikely to receive the outstanding contractual amounts in full before taking into account any credit enhancements held by the Company.</w:t>
      </w:r>
    </w:p>
    <w:p>
      <w:pPr>
        <w:tabs>
          <w:tab w:val="left" w:pos="1860"/>
        </w:tabs>
        <w:spacing w:after="120" w:before="160" w:line="264"/>
        <w:ind w:left="1240"/>
      </w:pPr>
      <w:r>
        <w:rPr>
          <w:rFonts w:ascii="Arial" w:cs="Arial" w:eastAsia="Arial" w:hAnsi="Arial"/>
          <w:b/>
          <w:bCs/>
          <w:i w:val="false"/>
          <w:iCs w:val="false"/>
          <w:sz w:val="20"/>
          <w:szCs w:val="20"/>
        </w:rPr>
        <w:t xml:space="preserve">(ii)</w:t>
      </w:r>
      <w:r>
        <w:rPr>
          <w:rFonts w:ascii="Arial" w:cs="Arial" w:eastAsia="Arial" w:hAnsi="Arial"/>
          <w:b/>
          <w:bCs/>
          <w:sz w:val="20"/>
          <w:szCs w:val="20"/>
        </w:rPr>
        <w:t xml:space="preserve">	Measuring ECL – Explanation of inputs, assumptions and estimation techniques</w:t>
      </w:r>
    </w:p>
    <w:p>
      <w:pPr>
        <w:spacing w:after="140" w:before="0" w:line="264"/>
        <w:ind w:left="1860"/>
      </w:pPr>
      <w:r>
        <w:rPr>
          <w:rFonts w:ascii="Arial" w:cs="Arial" w:eastAsia="Arial" w:hAnsi="Arial"/>
          <w:b w:val="false"/>
          <w:bCs w:val="false"/>
          <w:i w:val="false"/>
          <w:iCs w:val="false"/>
          <w:sz w:val="20"/>
          <w:szCs w:val="20"/>
        </w:rPr>
        <w:t xml:space="preserve">The Company applies a simplified approach in calculating ECL for receivables and cash and bank balances. Therefore, the Company does not track changes in credit risk, but instead recognises a loss allowance based on lifetime ECL at each reporting date.</w:t>
      </w:r>
    </w:p>
    <w:p>
      <w:pPr>
        <w:spacing w:after="140" w:before="0" w:line="264"/>
        <w:ind w:left="1860"/>
      </w:pPr>
      <w:r>
        <w:rPr>
          <w:rFonts w:ascii="Arial" w:cs="Arial" w:eastAsia="Arial" w:hAnsi="Arial"/>
          <w:b w:val="false"/>
          <w:bCs w:val="false"/>
          <w:i w:val="false"/>
          <w:iCs w:val="false"/>
          <w:sz w:val="20"/>
          <w:szCs w:val="20"/>
        </w:rPr>
        <w:t xml:space="preserve">ECL is computed based on the multiplication of Probability of Default (“PD”), Exposure at Default (“EAD”) and Loss Given Default (“LGD”). PD is derived based on default rates from an external rating agency for each counterparty after consideration of probability weighted outcomes and forward-looking information. EAD represents the source exposure of the Company as at reporting date and LGD represents the expectation of the extent of loss on a default exposure.</w:t>
      </w:r>
    </w:p>
    <w:p>
      <w:pPr>
        <w:tabs>
          <w:tab w:val="left" w:pos="1860"/>
        </w:tabs>
        <w:spacing w:after="120" w:before="160" w:line="264"/>
        <w:ind w:left="1240"/>
      </w:pPr>
      <w:r>
        <w:rPr>
          <w:rFonts w:ascii="Arial" w:cs="Arial" w:eastAsia="Arial" w:hAnsi="Arial"/>
          <w:b/>
          <w:bCs/>
          <w:i w:val="false"/>
          <w:iCs w:val="false"/>
          <w:sz w:val="20"/>
          <w:szCs w:val="20"/>
        </w:rPr>
        <w:t xml:space="preserve">(iii)</w:t>
      </w:r>
      <w:r>
        <w:rPr>
          <w:rFonts w:ascii="Arial" w:cs="Arial" w:eastAsia="Arial" w:hAnsi="Arial"/>
          <w:b/>
          <w:bCs/>
          <w:sz w:val="20"/>
          <w:szCs w:val="20"/>
        </w:rPr>
        <w:t xml:space="preserve">	Credit quality of financial assets</w:t>
      </w:r>
    </w:p>
    <w:tbl>
      <w:tblPr>
        <w:tblW w:type="dxa" w:w="9360"/>
        <w:tblBorders>
          <w:top w:val="nil"/>
          <w:left w:val="nil"/>
          <w:bottom w:val="nil"/>
          <w:right w:val="nil"/>
          <w:insideH w:val="nil"/>
          <w:insideV w:val="nil"/>
        </w:tblBorders>
      </w:tblPr>
      <w:tblGrid>
        <w:gridCol w:w="3360"/>
        <w:gridCol w:w="2000"/>
        <w:gridCol w:w="2000"/>
        <w:gridCol w:w="200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Non credit-impaired</w:t>
            </w:r>
          </w:p>
          <w:p>
            <w:pPr>
              <w:spacing w:after="0" w:before="0" w:line="264"/>
              <w:jc w:val="right"/>
            </w:pPr>
            <w:r>
              <w:rPr>
                <w:rFonts w:ascii="Arial" w:cs="Arial" w:eastAsia="Arial" w:hAnsi="Arial"/>
                <w:b/>
                <w:bCs/>
                <w:i w:val="false"/>
                <w:iCs w:val="false"/>
                <w:sz w:val="20"/>
                <w:szCs w:val="20"/>
              </w:rPr>
              <w:t xml:space="preserve">A-1 to A-3*</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Unrated</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Total</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At 31 December 2021</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Receivables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384,375</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Cash and bank balances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2,551,004</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2,935,379</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2,935,379</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At 31 December 2020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Receivables</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3,768,750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5,678</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3,774,428</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Cash and bank balances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5,003,869</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8,772,619</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5,678</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8,778,297</w:t>
            </w:r>
          </w:p>
        </w:tc>
      </w:tr>
    </w:tbl>
    <w:p>
      <w:pPr>
        <w:spacing w:after="140" w:before="0" w:line="264"/>
        <w:ind w:left="300"/>
      </w:pPr>
      <w:r>
        <w:rPr>
          <w:rFonts w:ascii="Arial" w:cs="Arial" w:eastAsia="Arial" w:hAnsi="Arial"/>
          <w:b w:val="false"/>
          <w:bCs w:val="false"/>
          <w:i w:val="false"/>
          <w:iCs w:val="false"/>
          <w:sz w:val="20"/>
          <w:szCs w:val="20"/>
        </w:rPr>
        <w:t xml:space="preserve">*    Based on RAM Ratings Services Berhad.</w:t>
      </w:r>
    </w:p>
    <w:p>
      <w:pPr>
        <w:spacing w:after="120" w:before="160" w:line="264"/>
        <w:ind w:left="620"/>
      </w:pPr>
      <w:r>
        <w:rPr>
          <w:rFonts w:ascii="Arial" w:cs="Arial" w:eastAsia="Arial" w:hAnsi="Arial"/>
          <w:b/>
          <w:bCs/>
          <w:i w:val="false"/>
          <w:iCs w:val="false"/>
          <w:sz w:val="20"/>
          <w:szCs w:val="20"/>
        </w:rPr>
        <w:t xml:space="preserve">Liquidity risk</w:t>
      </w:r>
    </w:p>
    <w:p>
      <w:pPr>
        <w:spacing w:after="140" w:before="0" w:line="264"/>
        <w:ind w:left="620"/>
      </w:pPr>
      <w:r>
        <w:rPr>
          <w:rFonts w:ascii="Arial" w:cs="Arial" w:eastAsia="Arial" w:hAnsi="Arial"/>
          <w:b w:val="false"/>
          <w:bCs w:val="false"/>
          <w:i w:val="false"/>
          <w:iCs w:val="false"/>
          <w:sz w:val="20"/>
          <w:szCs w:val="20"/>
        </w:rPr>
        <w:t xml:space="preserve">Liquidity risk is the risk that the Company will encounter difficulty in meeting financial obligations due to shortage of funds. The Company's exposure to liquidity risk arises primarily from mismatches of the maturities of financial assets and liabilities. The Company's objective is to achieve a balance between continuity of funding and flexibility through effective cashflow management.</w:t>
      </w:r>
    </w:p>
    <w:p>
      <w:pPr>
        <w:spacing w:after="140" w:before="0" w:line="264"/>
        <w:ind w:left="620"/>
      </w:pPr>
      <w:r>
        <w:rPr>
          <w:rFonts w:ascii="Arial" w:cs="Arial" w:eastAsia="Arial" w:hAnsi="Arial"/>
          <w:b w:val="false"/>
          <w:bCs w:val="false"/>
          <w:i w:val="false"/>
          <w:iCs w:val="false"/>
          <w:sz w:val="20"/>
          <w:szCs w:val="20"/>
        </w:rPr>
        <w:t xml:space="preserve">The Company's liquidity risk management policy is that short-term financing facility is only used to finance the short-term working capital gap.</w:t>
      </w:r>
    </w:p>
    <w:p>
      <w:pPr>
        <w:spacing w:after="120" w:before="120" w:line="264"/>
        <w:ind w:left="620"/>
      </w:pPr>
      <w:r>
        <w:rPr>
          <w:rFonts w:ascii="Arial" w:cs="Arial" w:eastAsia="Arial" w:hAnsi="Arial"/>
          <w:b/>
          <w:bCs/>
          <w:i w:val="false"/>
          <w:iCs w:val="false"/>
          <w:sz w:val="20"/>
          <w:szCs w:val="20"/>
        </w:rPr>
        <w:t xml:space="preserve">Analysis of financial instruments by remaining contractual maturities</w:t>
      </w:r>
    </w:p>
    <w:p>
      <w:pPr>
        <w:spacing w:after="140" w:before="0" w:line="264"/>
        <w:ind w:left="620"/>
      </w:pPr>
      <w:r>
        <w:rPr>
          <w:rFonts w:ascii="Arial" w:cs="Arial" w:eastAsia="Arial" w:hAnsi="Arial"/>
          <w:b w:val="false"/>
          <w:bCs w:val="false"/>
          <w:i w:val="false"/>
          <w:iCs w:val="false"/>
          <w:sz w:val="20"/>
          <w:szCs w:val="20"/>
        </w:rPr>
        <w:t xml:space="preserve">The table below summarises the maturity profile of the Company's liabilities at reporting date based on contractual undiscounted repayment obligations.</w:t>
      </w:r>
    </w:p>
    <w:tbl>
      <w:tblPr>
        <w:tblW w:type="dxa" w:w="9360"/>
        <w:tblBorders>
          <w:top w:val="nil"/>
          <w:left w:val="nil"/>
          <w:bottom w:val="nil"/>
          <w:right w:val="nil"/>
          <w:insideH w:val="nil"/>
          <w:insideV w:val="nil"/>
        </w:tblBorders>
      </w:tblPr>
      <w:tblGrid>
        <w:gridCol w:w="3960"/>
        <w:gridCol w:w="900"/>
        <w:gridCol w:w="2250"/>
        <w:gridCol w:w="225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bCs/>
                <w:i w:val="false"/>
                <w:iCs w:val="false"/>
                <w:sz w:val="20"/>
                <w:szCs w:val="20"/>
              </w:rPr>
              <w:t xml:space="preserve">Note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On demand</w:t>
            </w:r>
          </w:p>
          <w:p>
            <w:pPr>
              <w:spacing w:after="0" w:before="0" w:line="264"/>
              <w:jc w:val="right"/>
            </w:pPr>
            <w:r>
              <w:rPr>
                <w:rFonts w:ascii="Arial" w:cs="Arial" w:eastAsia="Arial" w:hAnsi="Arial"/>
                <w:b/>
                <w:bCs/>
                <w:i w:val="false"/>
                <w:iCs w:val="false"/>
                <w:sz w:val="20"/>
                <w:szCs w:val="20"/>
              </w:rPr>
              <w:t xml:space="preserve">or within</w:t>
            </w:r>
          </w:p>
          <w:p>
            <w:pPr>
              <w:spacing w:after="0" w:before="0" w:line="264"/>
              <w:jc w:val="right"/>
            </w:pPr>
            <w:r>
              <w:rPr>
                <w:rFonts w:ascii="Arial" w:cs="Arial" w:eastAsia="Arial" w:hAnsi="Arial"/>
                <w:b/>
                <w:bCs/>
                <w:i w:val="false"/>
                <w:iCs w:val="false"/>
                <w:sz w:val="20"/>
                <w:szCs w:val="20"/>
              </w:rPr>
              <w:t xml:space="preserve">1 year</w:t>
            </w:r>
          </w:p>
          <w:p>
            <w:pPr>
              <w:spacing w:after="0" w:before="0" w:line="264"/>
              <w:jc w:val="right"/>
            </w:pPr>
            <w:r>
              <w:rPr>
                <w:rFonts w:ascii="Arial" w:cs="Arial" w:eastAsia="Arial" w:hAnsi="Arial"/>
                <w:b/>
                <w:bCs/>
                <w:i w:val="false"/>
                <w:iCs w:val="false"/>
                <w:sz w:val="20"/>
                <w:szCs w:val="20"/>
              </w:rPr>
              <w:t xml:space="preserve">RM</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Total</w:t>
            </w:r>
          </w:p>
          <w:p>
            <w:pPr>
              <w:spacing w:after="0" w:before="0" w:line="264"/>
              <w:jc w:val="right"/>
            </w:pPr>
            <w:r>
              <w:rPr>
                <w:rFonts w:ascii="Arial" w:cs="Arial" w:eastAsia="Arial" w:hAnsi="Arial"/>
                <w:b/>
                <w:bCs/>
                <w:i w:val="false"/>
                <w:iCs w:val="false"/>
                <w:sz w:val="20"/>
                <w:szCs w:val="20"/>
              </w:rPr>
              <w:t xml:space="preserve">RM</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At 31 December 2021</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payables and accruals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Total undiscounted financial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401,922</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At 31 December 2020</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val="false"/>
                <w:bCs w:val="false"/>
                <w:i w:val="false"/>
                <w:iCs w:val="false"/>
                <w:sz w:val="20"/>
                <w:szCs w:val="20"/>
              </w:rPr>
              <w:t xml:space="preserve">Other payables and accruals (restated)</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r>
        <w:tc>
          <w:tcPr>
            <w:tcBorders>
              <w:top w:val="nil"/>
              <w:left w:val="nil"/>
              <w:bottom w:val="nil"/>
              <w:right w:val="nil"/>
            </w:tcBorders>
            <w:tcMar>
              <w:top w:type="dxa" w:w="10"/>
              <w:left w:type="dxa" w:w="0"/>
              <w:bottom w:type="dxa" w:w="10"/>
              <w:right w:type="dxa" w:w="80"/>
            </w:tcMar>
            <w:vAlign w:val="bottom"/>
          </w:tcPr>
          <w:p>
            <w:pPr>
              <w:spacing w:after="0" w:before="0" w:line="264"/>
              <w:ind w:left="300"/>
            </w:pPr>
            <w:r>
              <w:rPr>
                <w:rFonts w:ascii="Arial" w:cs="Arial" w:eastAsia="Arial" w:hAnsi="Arial"/>
                <w:b/>
                <w:bCs/>
                <w:i w:val="false"/>
                <w:iCs w:val="false"/>
                <w:sz w:val="20"/>
                <w:szCs w:val="20"/>
              </w:rPr>
              <w:t xml:space="preserve">Total undiscounted financial liabilities</w:t>
            </w:r>
          </w:p>
        </w:tc>
        <w:tc>
          <w:tcPr>
            <w:tcBorders>
              <w:top w:val="nil"/>
              <w:left w:val="nil"/>
              <w:bottom w:val="nil"/>
              <w:right w:val="nil"/>
            </w:tcBorders>
            <w:tcMar>
              <w:top w:type="dxa" w:w="10"/>
              <w:left w:type="dxa" w:w="20"/>
              <w:bottom w:type="dxa" w:w="10"/>
              <w:right w:type="dxa" w:w="20"/>
            </w:tcMar>
            <w:vAlign w:val="bottom"/>
          </w:tcPr>
          <w:p>
            <w:pPr>
              <w:spacing w:after="0" w:before="0" w:line="264"/>
              <w:jc w:val="center"/>
            </w:pPr>
            <w:r>
              <w:rPr>
                <w:rFonts w:ascii="Arial" w:cs="Arial" w:eastAsia="Arial" w:hAnsi="Arial"/>
                <w:b w:val="false"/>
                <w:bCs w:val="false"/>
                <w:i w:val="false"/>
                <w:iCs w:val="false"/>
                <w:sz w:val="20"/>
                <w:szCs w:val="20"/>
              </w:rPr>
              <w:t xml:space="preserve"/>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c>
          <w:tcPr>
            <w:tcBorders>
              <w:top w:val="nil"/>
              <w:left w:val="nil"/>
              <w:bottom w:val="doub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bl>
    <w:p>
      <w:pPr>
        <w:pStyle w:val="Heading2"/>
        <w:tabs>
          <w:tab w:val="left" w:pos="620"/>
        </w:tabs>
        <w:spacing w:after="160" w:before="260" w:line="264"/>
      </w:pPr>
      <w:r>
        <w:rPr>
          <w:rFonts w:ascii="Arial" w:cs="Arial" w:eastAsia="Arial" w:hAnsi="Arial"/>
          <w:b/>
          <w:bCs/>
          <w:i w:val="false"/>
          <w:iCs w:val="false"/>
          <w:sz w:val="20"/>
          <w:szCs w:val="20"/>
        </w:rPr>
        <w:t xml:space="preserve">14.</w:t>
      </w:r>
      <w:r>
        <w:rPr>
          <w:rFonts w:ascii="Arial" w:cs="Arial" w:eastAsia="Arial" w:hAnsi="Arial"/>
          <w:b/>
          <w:bCs/>
          <w:sz w:val="20"/>
          <w:szCs w:val="20"/>
        </w:rPr>
        <w:t xml:space="preserve">	Capital management</w:t>
      </w:r>
    </w:p>
    <w:p>
      <w:pPr>
        <w:spacing w:after="140" w:before="0" w:line="264"/>
        <w:ind w:left="620"/>
      </w:pPr>
      <w:r>
        <w:rPr>
          <w:rFonts w:ascii="Arial" w:cs="Arial" w:eastAsia="Arial" w:hAnsi="Arial"/>
          <w:b w:val="false"/>
          <w:bCs w:val="false"/>
          <w:i w:val="false"/>
          <w:iCs w:val="false"/>
          <w:sz w:val="20"/>
          <w:szCs w:val="20"/>
        </w:rPr>
        <w:t xml:space="preserve">The Company manages its capital in a manner that facilitates its role as a professional body focusing on membership, professional standards, education, awards and examination policies while remaining as a going concern.</w:t>
      </w:r>
    </w:p>
    <w:p>
      <w:pPr>
        <w:spacing w:after="140" w:before="0" w:line="264"/>
        <w:ind w:left="620"/>
      </w:pPr>
      <w:r>
        <w:rPr>
          <w:rFonts w:ascii="Arial" w:cs="Arial" w:eastAsia="Arial" w:hAnsi="Arial"/>
          <w:b w:val="false"/>
          <w:bCs w:val="false"/>
          <w:i w:val="false"/>
          <w:iCs w:val="false"/>
          <w:sz w:val="20"/>
          <w:szCs w:val="20"/>
        </w:rPr>
        <w:t xml:space="preserve">The Company is a company limited by guarantee and its capital structure consists of equity which are made up of accumulated funds, and launching grants. The Company is not subject to any externally imposed capital requirements.</w:t>
      </w:r>
    </w:p>
    <w:p>
      <w:pPr>
        <w:pStyle w:val="Heading2"/>
        <w:tabs>
          <w:tab w:val="left" w:pos="620"/>
        </w:tabs>
        <w:spacing w:after="160" w:before="260" w:line="264"/>
      </w:pPr>
      <w:r>
        <w:rPr>
          <w:rFonts w:ascii="Arial" w:cs="Arial" w:eastAsia="Arial" w:hAnsi="Arial"/>
          <w:b/>
          <w:bCs/>
          <w:i w:val="false"/>
          <w:iCs w:val="false"/>
          <w:sz w:val="20"/>
          <w:szCs w:val="20"/>
        </w:rPr>
        <w:t xml:space="preserve">15.</w:t>
      </w:r>
      <w:r>
        <w:rPr>
          <w:rFonts w:ascii="Arial" w:cs="Arial" w:eastAsia="Arial" w:hAnsi="Arial"/>
          <w:b/>
          <w:bCs/>
          <w:sz w:val="20"/>
          <w:szCs w:val="20"/>
        </w:rPr>
        <w:t xml:space="preserve">	Restatement</w:t>
      </w:r>
    </w:p>
    <w:p>
      <w:pPr>
        <w:spacing w:after="140" w:before="0" w:line="264"/>
        <w:ind w:left="620"/>
      </w:pPr>
      <w:r>
        <w:rPr>
          <w:rFonts w:ascii="Arial" w:cs="Arial" w:eastAsia="Arial" w:hAnsi="Arial"/>
          <w:b w:val="false"/>
          <w:bCs w:val="false"/>
          <w:i w:val="false"/>
          <w:iCs w:val="false"/>
          <w:sz w:val="20"/>
          <w:szCs w:val="20"/>
        </w:rPr>
        <w:t xml:space="preserve">In the current financial year, the Company has revised its provision for bonus for the year ended 31 December 2020. The effects of this revision to the financial statements are as follows:</w:t>
      </w:r>
    </w:p>
    <w:tbl>
      <w:tblPr>
        <w:tblW w:type="dxa" w:w="9360"/>
        <w:tblBorders>
          <w:top w:val="nil"/>
          <w:left w:val="nil"/>
          <w:bottom w:val="nil"/>
          <w:right w:val="nil"/>
          <w:insideH w:val="nil"/>
          <w:insideV w:val="nil"/>
        </w:tblBorders>
      </w:tblPr>
      <w:tblGrid>
        <w:gridCol w:w="3360"/>
        <w:gridCol w:w="2000"/>
        <w:gridCol w:w="2000"/>
        <w:gridCol w:w="2000"/>
      </w:tblGrid>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Before</w:t>
            </w:r>
          </w:p>
          <w:p>
            <w:pPr>
              <w:spacing w:after="0" w:before="0" w:line="264"/>
              <w:jc w:val="right"/>
            </w:pPr>
            <w:r>
              <w:rPr>
                <w:rFonts w:ascii="Arial" w:cs="Arial" w:eastAsia="Arial" w:hAnsi="Arial"/>
                <w:b/>
                <w:bCs/>
                <w:i w:val="false"/>
                <w:iCs w:val="false"/>
                <w:sz w:val="20"/>
                <w:szCs w:val="20"/>
              </w:rPr>
              <w:t xml:space="preserve">adjustment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
            </w:r>
          </w:p>
          <w:p>
            <w:pPr>
              <w:spacing w:after="0" w:before="0" w:line="264"/>
              <w:jc w:val="right"/>
            </w:pPr>
            <w:r>
              <w:rPr>
                <w:rFonts w:ascii="Arial" w:cs="Arial" w:eastAsia="Arial" w:hAnsi="Arial"/>
                <w:b/>
                <w:bCs/>
                <w:i w:val="false"/>
                <w:iCs w:val="false"/>
                <w:sz w:val="20"/>
                <w:szCs w:val="20"/>
              </w:rPr>
              <w:t xml:space="preserve">Adjustment</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bCs/>
                <w:i w:val="false"/>
                <w:iCs w:val="false"/>
                <w:sz w:val="20"/>
                <w:szCs w:val="20"/>
              </w:rPr>
              <w:t xml:space="preserve">After</w:t>
            </w:r>
          </w:p>
          <w:p>
            <w:pPr>
              <w:spacing w:after="0" w:before="0" w:line="264"/>
              <w:jc w:val="right"/>
            </w:pPr>
            <w:r>
              <w:rPr>
                <w:rFonts w:ascii="Arial" w:cs="Arial" w:eastAsia="Arial" w:hAnsi="Arial"/>
                <w:b/>
                <w:bCs/>
                <w:i w:val="false"/>
                <w:iCs w:val="false"/>
                <w:sz w:val="20"/>
                <w:szCs w:val="20"/>
              </w:rPr>
              <w:t xml:space="preserve">adjustment</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31 December 2020</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Statement of financial position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Accumulated fund</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4,618,945</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(112,569)</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4,506,376</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Other payables and accruals</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165,602</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112,569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278,171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Statement of income and expenditure</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Expenditure</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(2,462,760)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4,959</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(2,457,801)</w:t>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31 December 2019</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bCs/>
                <w:i w:val="false"/>
                <w:iCs w:val="false"/>
                <w:sz w:val="20"/>
                <w:szCs w:val="20"/>
              </w:rPr>
              <w:t xml:space="preserve">Statement of financial position</w:t>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c>
          <w:tcPr>
            <w:tcBorders>
              <w:top w:val="nil"/>
              <w:left w:val="nil"/>
              <w:bottom w:val="nil"/>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
            </w:r>
          </w:p>
        </w:tc>
      </w:tr>
      <w:tr>
        <w:tc>
          <w:tcPr>
            <w:tcBorders>
              <w:top w:val="nil"/>
              <w:left w:val="nil"/>
              <w:bottom w:val="nil"/>
              <w:right w:val="nil"/>
            </w:tcBorders>
            <w:tcMar>
              <w:top w:type="dxa" w:w="10"/>
              <w:left w:type="dxa" w:w="0"/>
              <w:bottom w:type="dxa" w:w="10"/>
              <w:right w:type="dxa" w:w="80"/>
            </w:tcMar>
            <w:vAlign w:val="bottom"/>
          </w:tcPr>
          <w:p>
            <w:pPr>
              <w:spacing w:after="0" w:before="0" w:line="264"/>
            </w:pPr>
            <w:r>
              <w:rPr>
                <w:rFonts w:ascii="Arial" w:cs="Arial" w:eastAsia="Arial" w:hAnsi="Arial"/>
                <w:b w:val="false"/>
                <w:bCs w:val="false"/>
                <w:i w:val="false"/>
                <w:iCs w:val="false"/>
                <w:sz w:val="20"/>
                <w:szCs w:val="20"/>
              </w:rPr>
              <w:t xml:space="preserve">Accumulated fund</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3,124,830</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(117,528)</w:t>
            </w:r>
          </w:p>
        </w:tc>
        <w:tc>
          <w:tcPr>
            <w:tcBorders>
              <w:top w:val="nil"/>
              <w:left w:val="nil"/>
              <w:bottom w:val="single" w:color="000000" w:sz="6" w:space="1"/>
              <w:right w:val="nil"/>
            </w:tcBorders>
            <w:tcMar>
              <w:top w:type="dxa" w:w="10"/>
              <w:left w:type="dxa" w:w="80"/>
              <w:bottom w:type="dxa" w:w="10"/>
              <w:right w:type="dxa" w:w="40"/>
            </w:tcMar>
            <w:vAlign w:val="bottom"/>
          </w:tcPr>
          <w:p>
            <w:pPr>
              <w:spacing w:after="0" w:before="0" w:line="264"/>
              <w:jc w:val="right"/>
            </w:pPr>
            <w:r>
              <w:rPr>
                <w:rFonts w:ascii="Arial" w:cs="Arial" w:eastAsia="Arial" w:hAnsi="Arial"/>
                <w:b w:val="false"/>
                <w:bCs w:val="false"/>
                <w:i w:val="false"/>
                <w:iCs w:val="false"/>
                <w:sz w:val="20"/>
                <w:szCs w:val="20"/>
              </w:rPr>
              <w:t xml:space="preserve">3,007,302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264"/>
      <w:outlineLvl w:val="0"/>
    </w:pPr>
    <w:rPr>
      <w:rFonts w:ascii="Arial" w:cs="Arial" w:eastAsia="Arial" w:hAnsi="Arial"/>
      <w:b/>
      <w:bCs/>
      <w:color w:val="000000"/>
      <w:sz w:val="20"/>
      <w:szCs w:val="20"/>
    </w:rPr>
  </w:style>
  <w:style w:type="paragraph" w:styleId="Heading2">
    <w:name w:val="Heading 2"/>
    <w:basedOn w:val="Normal"/>
    <w:next w:val="Normal"/>
    <w:qFormat/>
    <w:pPr>
      <w:spacing w:after="160" w:before="260" w:line="264"/>
      <w:outlineLvl w:val="1"/>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2026-07-07T06:49:32.086Z</dcterms:created>
  <dcterms:modified xsi:type="dcterms:W3CDTF">2026-07-07T06:49:32.086Z</dcterms:modified>
</cp:coreProperties>
</file>

<file path=docProps/custom.xml><?xml version="1.0" encoding="utf-8"?>
<Properties xmlns="http://schemas.openxmlformats.org/officeDocument/2006/custom-properties" xmlns:vt="http://schemas.openxmlformats.org/officeDocument/2006/docPropsVTypes"/>
</file>