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sz w:val="36"/>
          <w:szCs w:val="36"/>
        </w:rPr>
        <w:t xml:space="preserve">스마트 물류 관제 플랫폼 구축 사업</w:t>
      </w:r>
    </w:p>
    <w:p>
      <w:pPr>
        <w:spacing w:after="280"/>
        <w:jc w:val="center"/>
      </w:pPr>
      <w:r>
        <w:rPr>
          <w:rFonts w:ascii="Malgun Gothic" w:cs="Malgun Gothic" w:eastAsia="Malgun Gothic" w:hAnsi="Malgun Gothic"/>
          <w:color w:val="888888"/>
          <w:sz w:val="20"/>
          <w:szCs w:val="20"/>
        </w:rPr>
        <w:t xml:space="preserve">제안요청서 (RFP)</w:t>
      </w:r>
    </w:p>
    <w:p>
      <w:pPr>
        <w:spacing w:after="40" w:line="300"/>
        <w:jc w:val="left"/>
      </w:pPr>
      <w:r>
        <w:rPr>
          <w:rFonts w:ascii="Malgun Gothic" w:cs="Malgun Gothic" w:eastAsia="Malgun Gothic" w:hAnsi="Malgun Gothic"/>
          <w:color w:val="888888"/>
          <w:sz w:val="18"/>
          <w:szCs w:val="18"/>
        </w:rPr>
        <w:t xml:space="preserve">문서번호: KSLA-2026-P-041</w:t>
      </w:r>
    </w:p>
    <w:p>
      <w:pPr>
        <w:spacing w:after="40" w:line="300"/>
        <w:jc w:val="left"/>
      </w:pPr>
      <w:r>
        <w:rPr>
          <w:rFonts w:ascii="Malgun Gothic" w:cs="Malgun Gothic" w:eastAsia="Malgun Gothic" w:hAnsi="Malgun Gothic"/>
          <w:color w:val="888888"/>
          <w:sz w:val="18"/>
          <w:szCs w:val="18"/>
        </w:rPr>
        <w:t xml:space="preserve">발주기관: 한국스마트물류진흥원 (Korea Smart Logistics Agency)</w:t>
      </w:r>
    </w:p>
    <w:p>
      <w:pPr>
        <w:spacing w:after="200" w:line="300"/>
        <w:jc w:val="left"/>
      </w:pPr>
      <w:r>
        <w:rPr>
          <w:rFonts w:ascii="Malgun Gothic" w:cs="Malgun Gothic" w:eastAsia="Malgun Gothic" w:hAnsi="Malgun Gothic"/>
          <w:color w:val="888888"/>
          <w:sz w:val="18"/>
          <w:szCs w:val="18"/>
        </w:rPr>
        <w:t xml:space="preserve">작성일자: 2026년 7월 10일</w:t>
      </w:r>
    </w:p>
    <w:p>
      <w:pPr>
        <w:spacing w:after="130" w:before="200"/>
      </w:pPr>
      <w:r>
        <w:rPr>
          <w:rFonts w:ascii="Malgun Gothic" w:cs="Malgun Gothic" w:eastAsia="Malgun Gothic" w:hAnsi="Malgun Gothic"/>
          <w:b/>
          <w:bCs/>
          <w:color w:val="1F3864"/>
          <w:sz w:val="26"/>
          <w:szCs w:val="26"/>
        </w:rPr>
        <w:t xml:space="preserve">목차</w:t>
      </w:r>
    </w:p>
    <w:p>
      <w:pPr>
        <w:spacing w:after="40" w:line="280"/>
      </w:pPr>
      <w:r>
        <w:rPr>
          <w:rFonts w:ascii="Malgun Gothic" w:cs="Malgun Gothic" w:eastAsia="Malgun Gothic" w:hAnsi="Malgun Gothic"/>
          <w:color w:val="444444"/>
          <w:sz w:val="21"/>
          <w:szCs w:val="21"/>
        </w:rPr>
        <w:t xml:space="preserve">1. 사업 개요</w:t>
      </w:r>
    </w:p>
    <w:p>
      <w:pPr>
        <w:spacing w:after="40" w:line="280"/>
      </w:pPr>
      <w:r>
        <w:rPr>
          <w:rFonts w:ascii="Malgun Gothic" w:cs="Malgun Gothic" w:eastAsia="Malgun Gothic" w:hAnsi="Malgun Gothic"/>
          <w:color w:val="444444"/>
          <w:sz w:val="21"/>
          <w:szCs w:val="21"/>
        </w:rPr>
        <w:t xml:space="preserve">2. 추진 배경 및 필요성</w:t>
      </w:r>
    </w:p>
    <w:p>
      <w:pPr>
        <w:spacing w:after="40" w:line="280"/>
      </w:pPr>
      <w:r>
        <w:rPr>
          <w:rFonts w:ascii="Malgun Gothic" w:cs="Malgun Gothic" w:eastAsia="Malgun Gothic" w:hAnsi="Malgun Gothic"/>
          <w:color w:val="444444"/>
          <w:sz w:val="21"/>
          <w:szCs w:val="21"/>
        </w:rPr>
        <w:t xml:space="preserve">3. 사업 목적 및 기대효과</w:t>
      </w:r>
    </w:p>
    <w:p>
      <w:pPr>
        <w:spacing w:after="40" w:line="280"/>
      </w:pPr>
      <w:r>
        <w:rPr>
          <w:rFonts w:ascii="Malgun Gothic" w:cs="Malgun Gothic" w:eastAsia="Malgun Gothic" w:hAnsi="Malgun Gothic"/>
          <w:color w:val="444444"/>
          <w:sz w:val="21"/>
          <w:szCs w:val="21"/>
        </w:rPr>
        <w:t xml:space="preserve">4. 사업 범위</w:t>
      </w:r>
    </w:p>
    <w:p>
      <w:pPr>
        <w:spacing w:after="40" w:line="280"/>
      </w:pPr>
      <w:r>
        <w:rPr>
          <w:rFonts w:ascii="Malgun Gothic" w:cs="Malgun Gothic" w:eastAsia="Malgun Gothic" w:hAnsi="Malgun Gothic"/>
          <w:color w:val="444444"/>
          <w:sz w:val="21"/>
          <w:szCs w:val="21"/>
        </w:rPr>
        <w:t xml:space="preserve">5. 상세 요구사항</w:t>
      </w:r>
    </w:p>
    <w:p>
      <w:pPr>
        <w:spacing w:after="40" w:line="280"/>
      </w:pPr>
      <w:r>
        <w:rPr>
          <w:rFonts w:ascii="Malgun Gothic" w:cs="Malgun Gothic" w:eastAsia="Malgun Gothic" w:hAnsi="Malgun Gothic"/>
          <w:color w:val="444444"/>
          <w:sz w:val="21"/>
          <w:szCs w:val="21"/>
        </w:rPr>
        <w:t xml:space="preserve">   5.1 기능 요구사항</w:t>
      </w:r>
    </w:p>
    <w:p>
      <w:pPr>
        <w:spacing w:after="40" w:line="280"/>
      </w:pPr>
      <w:r>
        <w:rPr>
          <w:rFonts w:ascii="Malgun Gothic" w:cs="Malgun Gothic" w:eastAsia="Malgun Gothic" w:hAnsi="Malgun Gothic"/>
          <w:color w:val="444444"/>
          <w:sz w:val="21"/>
          <w:szCs w:val="21"/>
        </w:rPr>
        <w:t xml:space="preserve">   5.2 비기능 요구사항</w:t>
      </w:r>
    </w:p>
    <w:p>
      <w:pPr>
        <w:spacing w:after="40" w:line="280"/>
      </w:pPr>
      <w:r>
        <w:rPr>
          <w:rFonts w:ascii="Malgun Gothic" w:cs="Malgun Gothic" w:eastAsia="Malgun Gothic" w:hAnsi="Malgun Gothic"/>
          <w:color w:val="444444"/>
          <w:sz w:val="21"/>
          <w:szCs w:val="21"/>
        </w:rPr>
        <w:t xml:space="preserve">   5.3 데이터 및 연계 요구사항</w:t>
      </w:r>
    </w:p>
    <w:p>
      <w:pPr>
        <w:spacing w:after="40" w:line="280"/>
      </w:pPr>
      <w:r>
        <w:rPr>
          <w:rFonts w:ascii="Malgun Gothic" w:cs="Malgun Gothic" w:eastAsia="Malgun Gothic" w:hAnsi="Malgun Gothic"/>
          <w:color w:val="444444"/>
          <w:sz w:val="21"/>
          <w:szCs w:val="21"/>
        </w:rPr>
        <w:t xml:space="preserve">6. 사업 추진 일정</w:t>
      </w:r>
    </w:p>
    <w:p>
      <w:pPr>
        <w:spacing w:after="40" w:line="280"/>
      </w:pPr>
      <w:r>
        <w:rPr>
          <w:rFonts w:ascii="Malgun Gothic" w:cs="Malgun Gothic" w:eastAsia="Malgun Gothic" w:hAnsi="Malgun Gothic"/>
          <w:color w:val="444444"/>
          <w:sz w:val="21"/>
          <w:szCs w:val="21"/>
        </w:rPr>
        <w:t xml:space="preserve">7. 제안서 작성 및 제출 안내</w:t>
      </w:r>
    </w:p>
    <w:p>
      <w:pPr>
        <w:spacing w:after="40" w:line="280"/>
      </w:pPr>
      <w:r>
        <w:rPr>
          <w:rFonts w:ascii="Malgun Gothic" w:cs="Malgun Gothic" w:eastAsia="Malgun Gothic" w:hAnsi="Malgun Gothic"/>
          <w:color w:val="444444"/>
          <w:sz w:val="21"/>
          <w:szCs w:val="21"/>
        </w:rPr>
        <w:t xml:space="preserve">8. 제안서 평가 방법</w:t>
      </w:r>
    </w:p>
    <w:p>
      <w:pPr>
        <w:spacing w:after="40" w:line="280"/>
      </w:pPr>
      <w:r>
        <w:rPr>
          <w:rFonts w:ascii="Malgun Gothic" w:cs="Malgun Gothic" w:eastAsia="Malgun Gothic" w:hAnsi="Malgun Gothic"/>
          <w:color w:val="444444"/>
          <w:sz w:val="21"/>
          <w:szCs w:val="21"/>
        </w:rPr>
        <w:t xml:space="preserve">9. 계약 및 대금 지급 조건</w:t>
      </w:r>
    </w:p>
    <w:p>
      <w:pPr>
        <w:spacing w:after="40" w:line="280"/>
      </w:pPr>
      <w:r>
        <w:rPr>
          <w:rFonts w:ascii="Malgun Gothic" w:cs="Malgun Gothic" w:eastAsia="Malgun Gothic" w:hAnsi="Malgun Gothic"/>
          <w:color w:val="444444"/>
          <w:sz w:val="21"/>
          <w:szCs w:val="21"/>
        </w:rPr>
        <w:t xml:space="preserve">10. 유의사항 및 기타</w:t>
      </w:r>
    </w:p>
    <w:p>
      <w:r>
        <w:br w:type="page"/>
      </w:r>
    </w:p>
    <w:p>
      <w:pPr>
        <w:spacing w:after="130" w:before="200"/>
      </w:pPr>
      <w:r>
        <w:rPr>
          <w:rFonts w:ascii="Malgun Gothic" w:cs="Malgun Gothic" w:eastAsia="Malgun Gothic" w:hAnsi="Malgun Gothic"/>
          <w:b/>
          <w:bCs/>
          <w:color w:val="1F3864"/>
          <w:sz w:val="26"/>
          <w:szCs w:val="26"/>
        </w:rPr>
        <w:t xml:space="preserve">1. 사업 개요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사업명</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스마트 물류 관제 플랫폼 구축 사업</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발주처</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한국스마트물류진흥원</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제안서 제출 마감일</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2026년 8월 14일 18:00</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사업 기간</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계약 체결일로부터 8개월</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사업 예산</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5억원 이내 (부가세 포함)</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계약 방식</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협상에 의한 계약 (제한경쟁입찰)</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제출 방법</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국가종합전자조달시스템(나라장터) 및 방문 제출 병행</w:t>
            </w:r>
          </w:p>
        </w:tc>
      </w:tr>
    </w:tbl>
    <w:p>
      <w:pPr>
        <w:spacing w:after="160"/>
      </w:pPr>
    </w:p>
    <w:p>
      <w:pPr>
        <w:spacing w:after="130" w:before="200"/>
      </w:pPr>
      <w:r>
        <w:rPr>
          <w:rFonts w:ascii="Malgun Gothic" w:cs="Malgun Gothic" w:eastAsia="Malgun Gothic" w:hAnsi="Malgun Gothic"/>
          <w:b/>
          <w:bCs/>
          <w:color w:val="1F3864"/>
          <w:sz w:val="26"/>
          <w:szCs w:val="26"/>
        </w:rPr>
        <w:t xml:space="preserve">2. 추진 배경 및 필요성</w:t>
      </w:r>
    </w:p>
    <w:p>
      <w:pPr>
        <w:spacing w:after="140" w:line="300"/>
        <w:jc w:val="both"/>
      </w:pPr>
      <w:r>
        <w:rPr>
          <w:rFonts w:ascii="Malgun Gothic" w:cs="Malgun Gothic" w:eastAsia="Malgun Gothic" w:hAnsi="Malgun Gothic"/>
          <w:sz w:val="21"/>
          <w:szCs w:val="21"/>
        </w:rPr>
        <w:t xml:space="preserve">최근 이커머스 물동량의 급증과 배송 리드타임 단축 경쟁으로 인해 전국 물류 인프라의 실시간 운영 관리 역량이 기업 경쟁력의 핵심 요소로 부상하고 있다. 그러나 현재 다수의 중소·중견 물류센터는 입출고 데이터와 재고 현황을 개별 시스템에서 분산 관리하고 있어, 물류 흐름 전반에 대한 통합적 가시성을 확보하지 못하고 있는 실정이다. 이로 인해 재고 불일치, 상품 파손, 콜드체인 온도 이탈과 같은 이상 상황이 발생하더라도 이를 즉시 인지하고 대응하기 어려운 구조적 한계가 존재한다.</w:t>
      </w:r>
    </w:p>
    <w:p>
      <w:pPr>
        <w:spacing w:after="140" w:line="300"/>
        <w:jc w:val="both"/>
      </w:pPr>
      <w:r>
        <w:rPr>
          <w:rFonts w:ascii="Malgun Gothic" w:cs="Malgun Gothic" w:eastAsia="Malgun Gothic" w:hAnsi="Malgun Gothic"/>
          <w:sz w:val="21"/>
          <w:szCs w:val="21"/>
        </w:rPr>
        <w:t xml:space="preserve">특히 신선식품 및 의약품과 같이 온도에 민감한 품목의 취급 비중이 늘어나면서, 보관 및 이송 과정 전반의 온·습도 조건을 실시간으로 모니터링하고 기준 이탈 시 즉각 경보를 발령할 수 있는 관제 체계의 필요성이 크게 대두되고 있다. 기존의 수기 점검 및 사후 보고 방식으로는 골든타임 내 조치가 사실상 불가능하며, 이는 곧 제품 폐기와 고객 신뢰 하락이라는 직접적 손실로 이어진다.</w:t>
      </w:r>
    </w:p>
    <w:p>
      <w:pPr>
        <w:spacing w:after="140" w:line="300"/>
        <w:jc w:val="both"/>
      </w:pPr>
      <w:r>
        <w:rPr>
          <w:rFonts w:ascii="Malgun Gothic" w:cs="Malgun Gothic" w:eastAsia="Malgun Gothic" w:hAnsi="Malgun Gothic"/>
          <w:sz w:val="21"/>
          <w:szCs w:val="21"/>
        </w:rPr>
        <w:t xml:space="preserve">이에 본원은 전국 물류센터에 설치된 다종 IoT 센서의 데이터를 하나의 플랫폼으로 통합 수집·저장하고, 웹 기반 관제 대시보드를 통해 실시간으로 상태를 파악하며, 이상 징후를 자동으로 탐지·알림하는 스마트 물류 관제 플랫폼의 구축을 추진하고자 한다.</w:t>
      </w:r>
    </w:p>
    <w:p>
      <w:pPr>
        <w:spacing w:after="160"/>
      </w:pPr>
    </w:p>
    <w:p>
      <w:pPr>
        <w:spacing w:after="130" w:before="200"/>
      </w:pPr>
      <w:r>
        <w:rPr>
          <w:rFonts w:ascii="Malgun Gothic" w:cs="Malgun Gothic" w:eastAsia="Malgun Gothic" w:hAnsi="Malgun Gothic"/>
          <w:b/>
          <w:bCs/>
          <w:color w:val="1F3864"/>
          <w:sz w:val="26"/>
          <w:szCs w:val="26"/>
        </w:rPr>
        <w:t xml:space="preserve">3. 사업 목적 및 기대효과</w:t>
      </w:r>
    </w:p>
    <w:p>
      <w:pPr>
        <w:spacing w:after="140" w:line="300"/>
        <w:jc w:val="both"/>
      </w:pPr>
      <w:r>
        <w:rPr>
          <w:rFonts w:ascii="Malgun Gothic" w:cs="Malgun Gothic" w:eastAsia="Malgun Gothic" w:hAnsi="Malgun Gothic"/>
          <w:sz w:val="21"/>
          <w:szCs w:val="21"/>
        </w:rPr>
        <w:t xml:space="preserve">본 사업의 목적은 분산된 물류 데이터를 통합 관제 체계로 일원화하여 운영 효율성과 안전성을 동시에 제고하는 데 있다. 이를 통해 물류 흐름의 실시간 가시성을 확보하고, 이상 상황에 대한 선제적 대응 체계를 마련하며, 데이터 기반의 의사결정 문화를 정착시키고자 한다.</w:t>
      </w:r>
    </w:p>
    <w:p>
      <w:pPr>
        <w:spacing w:after="140" w:line="300"/>
        <w:jc w:val="both"/>
      </w:pPr>
      <w:r>
        <w:rPr>
          <w:rFonts w:ascii="Malgun Gothic" w:cs="Malgun Gothic" w:eastAsia="Malgun Gothic" w:hAnsi="Malgun Gothic"/>
          <w:sz w:val="21"/>
          <w:szCs w:val="21"/>
        </w:rPr>
        <w:t xml:space="preserve">기대효과로는 첫째, 실시간 모니터링을 통한 재고 정확도 향상 및 결품·과재고 최소화를 기대할 수 있다. 둘째, 온도 이탈 등 품질 위험의 조기 탐지로 상품 폐기율을 절감할 수 있다. 셋째, 자동 리포트 생성을 통해 운영 인력의 반복 업무 부담을 경감하고 보고 체계를 표준화할 수 있다. 넷째, 축적된 데이터를 기반으로 수요 예측 및 설비 배치 최적화 등 고도화 과제로의 확장 기반을 마련할 수 있다.</w:t>
      </w:r>
    </w:p>
    <w:p>
      <w:pPr>
        <w:spacing w:after="160"/>
      </w:pPr>
    </w:p>
    <w:p>
      <w:pPr>
        <w:spacing w:after="130" w:before="200"/>
      </w:pPr>
      <w:r>
        <w:rPr>
          <w:rFonts w:ascii="Malgun Gothic" w:cs="Malgun Gothic" w:eastAsia="Malgun Gothic" w:hAnsi="Malgun Gothic"/>
          <w:b/>
          <w:bCs/>
          <w:color w:val="1F3864"/>
          <w:sz w:val="26"/>
          <w:szCs w:val="26"/>
        </w:rPr>
        <w:t xml:space="preserve">4. 사업 범위</w:t>
      </w:r>
    </w:p>
    <w:p>
      <w:pPr>
        <w:spacing w:after="140" w:line="300"/>
        <w:jc w:val="both"/>
      </w:pPr>
      <w:r>
        <w:rPr>
          <w:rFonts w:ascii="Malgun Gothic" w:cs="Malgun Gothic" w:eastAsia="Malgun Gothic" w:hAnsi="Malgun Gothic"/>
          <w:sz w:val="21"/>
          <w:szCs w:val="21"/>
        </w:rPr>
        <w:t xml:space="preserve">본 사업의 범위는 스마트 물류 관제 플랫폼의 설계, 개발, 구축, 시험, 안정화 및 이관 교육 일체를 포함한다. 구체적으로는 IoT 센서 데이터 수집 파이프라인 구축, 데이터 통합 저장소 설계, 실시간 관제 대시보드 개발, 이상 알림 엔진 구현, 기존 창고관리시스템(WMS) 연계 인터페이스 개발, 클라우드 인프라 구성 및 1년간의 운영·유지보수 지원을 포함한다. 하드웨어 센서의 물리적 설치 및 통신 회선 공사는 본 사업의 범위에서 제외하며, 발주처가 별도로 제공하는 센서와의 연동만을 대상으로 한다.</w:t>
      </w:r>
    </w:p>
    <w:p>
      <w:pPr>
        <w:spacing w:after="160"/>
      </w:pPr>
    </w:p>
    <w:p>
      <w:pPr>
        <w:spacing w:after="130" w:before="200"/>
      </w:pPr>
      <w:r>
        <w:rPr>
          <w:rFonts w:ascii="Malgun Gothic" w:cs="Malgun Gothic" w:eastAsia="Malgun Gothic" w:hAnsi="Malgun Gothic"/>
          <w:b/>
          <w:bCs/>
          <w:color w:val="1F3864"/>
          <w:sz w:val="26"/>
          <w:szCs w:val="26"/>
        </w:rPr>
        <w:t xml:space="preserve">5. 상세 요구사항</w:t>
      </w:r>
    </w:p>
    <w:p>
      <w:pPr>
        <w:spacing w:after="90" w:before="120"/>
      </w:pPr>
      <w:r>
        <w:rPr>
          <w:rFonts w:ascii="Malgun Gothic" w:cs="Malgun Gothic" w:eastAsia="Malgun Gothic" w:hAnsi="Malgun Gothic"/>
          <w:b/>
          <w:bCs/>
          <w:color w:val="2E5496"/>
          <w:sz w:val="22"/>
          <w:szCs w:val="22"/>
        </w:rPr>
        <w:t xml:space="preserve">5.1 기능 요구사항</w:t>
      </w:r>
    </w:p>
    <w:p>
      <w:pPr>
        <w:spacing w:after="140" w:line="300"/>
        <w:jc w:val="both"/>
      </w:pPr>
      <w:r>
        <w:rPr>
          <w:rFonts w:ascii="Malgun Gothic" w:cs="Malgun Gothic" w:eastAsia="Malgun Gothic" w:hAnsi="Malgun Gothic"/>
          <w:sz w:val="21"/>
          <w:szCs w:val="21"/>
        </w:rPr>
        <w:t xml:space="preserve">가. 전국 물류센터에 설치된 IoT 센서(온도·습도·위치)의 측정값을 실시간으로 수집하여 통합 저장소에 적재할 수 있어야 한다.</w:t>
      </w:r>
    </w:p>
    <w:p>
      <w:pPr>
        <w:spacing w:after="140" w:line="300"/>
        <w:jc w:val="both"/>
      </w:pPr>
      <w:r>
        <w:rPr>
          <w:rFonts w:ascii="Malgun Gothic" w:cs="Malgun Gothic" w:eastAsia="Malgun Gothic" w:hAnsi="Malgun Gothic"/>
          <w:sz w:val="21"/>
          <w:szCs w:val="21"/>
        </w:rPr>
        <w:t xml:space="preserve">나. 웹 기반 실시간 관제 대시보드를 통해 센터별·구역별 상태를 지도 및 차트 형태로 시각화하여 제공하여야 한다.</w:t>
      </w:r>
    </w:p>
    <w:p>
      <w:pPr>
        <w:spacing w:after="140" w:line="300"/>
        <w:jc w:val="both"/>
      </w:pPr>
      <w:r>
        <w:rPr>
          <w:rFonts w:ascii="Malgun Gothic" w:cs="Malgun Gothic" w:eastAsia="Malgun Gothic" w:hAnsi="Malgun Gothic"/>
          <w:sz w:val="21"/>
          <w:szCs w:val="21"/>
        </w:rPr>
        <w:t xml:space="preserve">다. 사용자가 설정한 임계치를 초과하는 이상 상황이 발생할 경우, 화면 경보와 함께 이메일 및 문자(SMS) 알림을 자동 발송할 수 있어야 한다.</w:t>
      </w:r>
    </w:p>
    <w:p>
      <w:pPr>
        <w:spacing w:after="140" w:line="300"/>
        <w:jc w:val="both"/>
      </w:pPr>
      <w:r>
        <w:rPr>
          <w:rFonts w:ascii="Malgun Gothic" w:cs="Malgun Gothic" w:eastAsia="Malgun Gothic" w:hAnsi="Malgun Gothic"/>
          <w:sz w:val="21"/>
          <w:szCs w:val="21"/>
        </w:rPr>
        <w:t xml:space="preserve">라. 일·주·월 단위의 재고 및 입출고 현황 리포트를 자동으로 생성하고, 엑셀 및 PDF 형식으로 내려받을 수 있어야 한다.</w:t>
      </w:r>
    </w:p>
    <w:p>
      <w:pPr>
        <w:spacing w:after="140" w:line="300"/>
        <w:jc w:val="both"/>
      </w:pPr>
      <w:r>
        <w:rPr>
          <w:rFonts w:ascii="Malgun Gothic" w:cs="Malgun Gothic" w:eastAsia="Malgun Gothic" w:hAnsi="Malgun Gothic"/>
          <w:sz w:val="21"/>
          <w:szCs w:val="21"/>
        </w:rPr>
        <w:t xml:space="preserve">마. 관리자·운영자·조회자 등 역할 기반 권한 체계(RBAC)를 제공하여 기능 접근을 통제할 수 있어야 한다.</w:t>
      </w:r>
    </w:p>
    <w:p>
      <w:pPr>
        <w:spacing w:after="90" w:before="120"/>
      </w:pPr>
      <w:r>
        <w:rPr>
          <w:rFonts w:ascii="Malgun Gothic" w:cs="Malgun Gothic" w:eastAsia="Malgun Gothic" w:hAnsi="Malgun Gothic"/>
          <w:b/>
          <w:bCs/>
          <w:color w:val="2E5496"/>
          <w:sz w:val="22"/>
          <w:szCs w:val="22"/>
        </w:rPr>
        <w:t xml:space="preserve">5.2 비기능 요구사항</w:t>
      </w:r>
    </w:p>
    <w:p>
      <w:pPr>
        <w:spacing w:after="140" w:line="300"/>
        <w:jc w:val="both"/>
      </w:pPr>
      <w:r>
        <w:rPr>
          <w:rFonts w:ascii="Malgun Gothic" w:cs="Malgun Gothic" w:eastAsia="Malgun Gothic" w:hAnsi="Malgun Gothic"/>
          <w:sz w:val="21"/>
          <w:szCs w:val="21"/>
        </w:rPr>
        <w:t xml:space="preserve">성능 측면에서 관제 대시보드의 주요 화면은 3초 이내에 응답하여야 하며, 초당 최소 5,000건의 센서 데이터를 유실 없이 처리할 수 있어야 한다. 가용성 측면에서 연간 99.5% 이상의 서비스 가용성을 보장하여야 하며, 장애 발생 시 자동 복구 및 이중화 구성을 갖추어야 한다. 보안 측면에서 전송 구간 암호화(TLS), 접근 통제, 감사 로그 기록을 적용하고 관련 개인정보 및 정보보호 관계 법령을 준수하여야 한다.</w:t>
      </w:r>
    </w:p>
    <w:p>
      <w:pPr>
        <w:spacing w:after="90" w:before="120"/>
      </w:pPr>
      <w:r>
        <w:rPr>
          <w:rFonts w:ascii="Malgun Gothic" w:cs="Malgun Gothic" w:eastAsia="Malgun Gothic" w:hAnsi="Malgun Gothic"/>
          <w:b/>
          <w:bCs/>
          <w:color w:val="2E5496"/>
          <w:sz w:val="22"/>
          <w:szCs w:val="22"/>
        </w:rPr>
        <w:t xml:space="preserve">5.3 데이터 및 연계 요구사항</w:t>
      </w:r>
    </w:p>
    <w:p>
      <w:pPr>
        <w:spacing w:after="140" w:line="300"/>
        <w:jc w:val="both"/>
      </w:pPr>
      <w:r>
        <w:rPr>
          <w:rFonts w:ascii="Malgun Gothic" w:cs="Malgun Gothic" w:eastAsia="Malgun Gothic" w:hAnsi="Malgun Gothic"/>
          <w:sz w:val="21"/>
          <w:szCs w:val="21"/>
        </w:rPr>
        <w:t xml:space="preserve">수집 대상 데이터는 온도, 습도, 위치, 입출고 이벤트, 재고 수량을 포함하며, 표준화된 스키마로 저장되어야 한다. 또한 발주처가 운영 중인 기존 창고관리시스템(WMS)과 표준 API 기반의 양방향 연계 인터페이스를 제공하여, 재고 및 입출고 데이터가 상호 정합성을 유지하도록 하여야 한다.</w:t>
      </w:r>
    </w:p>
    <w:p>
      <w:pPr>
        <w:spacing w:after="160"/>
      </w:pPr>
    </w:p>
    <w:p>
      <w:pPr>
        <w:spacing w:after="130" w:before="200"/>
      </w:pPr>
      <w:r>
        <w:rPr>
          <w:rFonts w:ascii="Malgun Gothic" w:cs="Malgun Gothic" w:eastAsia="Malgun Gothic" w:hAnsi="Malgun Gothic"/>
          <w:b/>
          <w:bCs/>
          <w:color w:val="1F3864"/>
          <w:sz w:val="26"/>
          <w:szCs w:val="26"/>
        </w:rPr>
        <w:t xml:space="preserve">6. 사업 추진 일정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c>
          <w:tcPr>
            <w:tcW w:type="dxa" w:w="2400"/>
            <w:shd w:fill="E8EEF7" w:val="clear"/>
            <w:tcMar>
              <w:top w:type="dxa" w:w="60"/>
              <w:left w:type="dxa" w:w="100"/>
              <w:bottom w:type="dxa" w:w="60"/>
              <w:right w:type="dxa" w:w="100"/>
            </w:tcMar>
          </w:tcPr>
          <w:p>
            <w:pPr>
              <w:jc w:val="center"/>
            </w:pPr>
            <w:r>
              <w:rPr>
                <w:rFonts w:ascii="Malgun Gothic" w:cs="Malgun Gothic" w:eastAsia="Malgun Gothic" w:hAnsi="Malgun Gothic"/>
                <w:b/>
                <w:bCs/>
                <w:sz w:val="21"/>
                <w:szCs w:val="21"/>
              </w:rPr>
              <w:t xml:space="preserve">단계</w:t>
            </w:r>
          </w:p>
        </w:tc>
        <w:tc>
          <w:tcPr>
            <w:tcW w:type="dxa" w:w="4600"/>
            <w:shd w:fill="E8EEF7" w:val="clear"/>
            <w:tcMar>
              <w:top w:type="dxa" w:w="60"/>
              <w:left w:type="dxa" w:w="100"/>
              <w:bottom w:type="dxa" w:w="60"/>
              <w:right w:type="dxa" w:w="100"/>
            </w:tcMar>
          </w:tcPr>
          <w:p>
            <w:pPr>
              <w:jc w:val="center"/>
            </w:pPr>
            <w:r>
              <w:rPr>
                <w:rFonts w:ascii="Malgun Gothic" w:cs="Malgun Gothic" w:eastAsia="Malgun Gothic" w:hAnsi="Malgun Gothic"/>
                <w:b/>
                <w:bCs/>
                <w:sz w:val="21"/>
                <w:szCs w:val="21"/>
              </w:rPr>
              <w:t xml:space="preserve">주요 활동</w:t>
            </w:r>
          </w:p>
        </w:tc>
        <w:tc>
          <w:tcPr>
            <w:tcW w:type="dxa" w:w="2000"/>
            <w:shd w:fill="E8EEF7" w:val="clear"/>
            <w:tcMar>
              <w:top w:type="dxa" w:w="60"/>
              <w:left w:type="dxa" w:w="100"/>
              <w:bottom w:type="dxa" w:w="60"/>
              <w:right w:type="dxa" w:w="100"/>
            </w:tcMar>
          </w:tcPr>
          <w:p>
            <w:pPr>
              <w:jc w:val="center"/>
            </w:pPr>
            <w:r>
              <w:rPr>
                <w:rFonts w:ascii="Malgun Gothic" w:cs="Malgun Gothic" w:eastAsia="Malgun Gothic" w:hAnsi="Malgun Gothic"/>
                <w:b/>
                <w:bCs/>
                <w:sz w:val="21"/>
                <w:szCs w:val="21"/>
              </w:rPr>
              <w:t xml:space="preserve">기간</w:t>
            </w:r>
          </w:p>
        </w:tc>
      </w:tr>
      <w:tr>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착수·분석</w:t>
            </w:r>
          </w:p>
        </w:tc>
        <w:tc>
          <w:tcPr>
            <w:tcW w:type="dxa" w:w="4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요구사항 상세화, 현행 분석</w:t>
            </w:r>
          </w:p>
        </w:tc>
        <w:tc>
          <w:tcPr>
            <w:tcW w:type="dxa" w:w="20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1~2개월차</w:t>
            </w:r>
          </w:p>
        </w:tc>
      </w:tr>
      <w:tr>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설계</w:t>
            </w:r>
          </w:p>
        </w:tc>
        <w:tc>
          <w:tcPr>
            <w:tcW w:type="dxa" w:w="4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아키텍처 및 데이터 설계</w:t>
            </w:r>
          </w:p>
        </w:tc>
        <w:tc>
          <w:tcPr>
            <w:tcW w:type="dxa" w:w="20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2~3개월차</w:t>
            </w:r>
          </w:p>
        </w:tc>
      </w:tr>
      <w:tr>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개발</w:t>
            </w:r>
          </w:p>
        </w:tc>
        <w:tc>
          <w:tcPr>
            <w:tcW w:type="dxa" w:w="4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대시보드·알림·연계 개발</w:t>
            </w:r>
          </w:p>
        </w:tc>
        <w:tc>
          <w:tcPr>
            <w:tcW w:type="dxa" w:w="20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3~6개월차</w:t>
            </w:r>
          </w:p>
        </w:tc>
      </w:tr>
      <w:tr>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시험·안정화</w:t>
            </w:r>
          </w:p>
        </w:tc>
        <w:tc>
          <w:tcPr>
            <w:tcW w:type="dxa" w:w="4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통합시험, 성능시험, 이관</w:t>
            </w:r>
          </w:p>
        </w:tc>
        <w:tc>
          <w:tcPr>
            <w:tcW w:type="dxa" w:w="20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6~8개월차</w:t>
            </w:r>
          </w:p>
        </w:tc>
      </w:tr>
    </w:tbl>
    <w:p>
      <w:pPr>
        <w:spacing w:after="160"/>
      </w:pPr>
    </w:p>
    <w:p>
      <w:pPr>
        <w:spacing w:after="130" w:before="200"/>
      </w:pPr>
      <w:r>
        <w:rPr>
          <w:rFonts w:ascii="Malgun Gothic" w:cs="Malgun Gothic" w:eastAsia="Malgun Gothic" w:hAnsi="Malgun Gothic"/>
          <w:b/>
          <w:bCs/>
          <w:color w:val="1F3864"/>
          <w:sz w:val="26"/>
          <w:szCs w:val="26"/>
        </w:rPr>
        <w:t xml:space="preserve">7. 제안서 작성 및 제출 안내</w:t>
      </w:r>
    </w:p>
    <w:p>
      <w:pPr>
        <w:spacing w:after="140" w:line="300"/>
        <w:jc w:val="both"/>
      </w:pPr>
      <w:r>
        <w:rPr>
          <w:rFonts w:ascii="Malgun Gothic" w:cs="Malgun Gothic" w:eastAsia="Malgun Gothic" w:hAnsi="Malgun Gothic"/>
          <w:sz w:val="21"/>
          <w:szCs w:val="21"/>
        </w:rPr>
        <w:t xml:space="preserve">제안서는 기술제안서와 가격제안서로 구성하여 각각 별도로 제출한다. 제안서는 국문으로 작성하며, 표지·목차·요약서를 포함하여 본문 80페이지 이내로 작성한다. 제출 마감일은 2026년 8월 14일 18:00이며, 마감 시각 이후 도착한 제안서는 사유를 불문하고 접수하지 않는다. 제출처는 나라장터 전자제출을 원칙으로 하되, 방문 제출을 병행한다.</w:t>
      </w:r>
    </w:p>
    <w:p>
      <w:pPr>
        <w:spacing w:after="160"/>
      </w:pPr>
    </w:p>
    <w:p>
      <w:pPr>
        <w:spacing w:after="130" w:before="200"/>
      </w:pPr>
      <w:r>
        <w:rPr>
          <w:rFonts w:ascii="Malgun Gothic" w:cs="Malgun Gothic" w:eastAsia="Malgun Gothic" w:hAnsi="Malgun Gothic"/>
          <w:b/>
          <w:bCs/>
          <w:color w:val="1F3864"/>
          <w:sz w:val="26"/>
          <w:szCs w:val="26"/>
        </w:rPr>
        <w:t xml:space="preserve">8. 제안서 평가 방법</w:t>
      </w:r>
    </w:p>
    <w:p>
      <w:pPr>
        <w:spacing w:after="140" w:line="300"/>
        <w:jc w:val="both"/>
      </w:pPr>
      <w:r>
        <w:rPr>
          <w:rFonts w:ascii="Malgun Gothic" w:cs="Malgun Gothic" w:eastAsia="Malgun Gothic" w:hAnsi="Malgun Gothic"/>
          <w:sz w:val="21"/>
          <w:szCs w:val="21"/>
        </w:rPr>
        <w:t xml:space="preserve">평가는 기술평가 80점과 가격평가 20점의 합산으로 이루어진다. 기술평가는 사업 이해도, 수행 방법론의 적정성, 유사 사업 수행실적, 투입 인력의 전문성 및 관리 방안을 중점적으로 심사한다. 가격평가는 제출된 총 제안금액을 기준으로 산정하며, 예정가격 대비 적정성을 함께 검토한다.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600"/>
        <w:gridCol w:w="2400"/>
      </w:tblGrid>
      <w:tr>
        <w:tc>
          <w:tcPr>
            <w:tcW w:type="dxa" w:w="6600"/>
            <w:shd w:fill="E8EEF7" w:val="clear"/>
            <w:tcMar>
              <w:top w:type="dxa" w:w="60"/>
              <w:left w:type="dxa" w:w="100"/>
              <w:bottom w:type="dxa" w:w="60"/>
              <w:right w:type="dxa" w:w="100"/>
            </w:tcMar>
          </w:tcPr>
          <w:p>
            <w:pPr>
              <w:jc w:val="center"/>
            </w:pPr>
            <w:r>
              <w:rPr>
                <w:rFonts w:ascii="Malgun Gothic" w:cs="Malgun Gothic" w:eastAsia="Malgun Gothic" w:hAnsi="Malgun Gothic"/>
                <w:b/>
                <w:bCs/>
                <w:sz w:val="21"/>
                <w:szCs w:val="21"/>
              </w:rPr>
              <w:t xml:space="preserve">평가 항목</w:t>
            </w:r>
          </w:p>
        </w:tc>
        <w:tc>
          <w:tcPr>
            <w:tcW w:type="dxa" w:w="2400"/>
            <w:shd w:fill="E8EEF7" w:val="clear"/>
            <w:tcMar>
              <w:top w:type="dxa" w:w="60"/>
              <w:left w:type="dxa" w:w="100"/>
              <w:bottom w:type="dxa" w:w="60"/>
              <w:right w:type="dxa" w:w="100"/>
            </w:tcMar>
          </w:tcPr>
          <w:p>
            <w:pPr>
              <w:jc w:val="center"/>
            </w:pPr>
            <w:r>
              <w:rPr>
                <w:rFonts w:ascii="Malgun Gothic" w:cs="Malgun Gothic" w:eastAsia="Malgun Gothic" w:hAnsi="Malgun Gothic"/>
                <w:b/>
                <w:bCs/>
                <w:sz w:val="21"/>
                <w:szCs w:val="21"/>
              </w:rPr>
              <w:t xml:space="preserve">배점</w:t>
            </w:r>
          </w:p>
        </w:tc>
      </w:tr>
      <w:tr>
        <w:tc>
          <w:tcPr>
            <w:tcW w:type="dxa" w:w="6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사업 이해도 및 추진 전략</w:t>
            </w:r>
          </w:p>
        </w:tc>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w:t>
            </w:r>
          </w:p>
        </w:tc>
      </w:tr>
      <w:tr>
        <w:tc>
          <w:tcPr>
            <w:tcW w:type="dxa" w:w="6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기술 및 수행 방법론</w:t>
            </w:r>
          </w:p>
        </w:tc>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25</w:t>
            </w:r>
          </w:p>
        </w:tc>
      </w:tr>
      <w:tr>
        <w:tc>
          <w:tcPr>
            <w:tcW w:type="dxa" w:w="6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유사 수행실적</w:t>
            </w:r>
          </w:p>
        </w:tc>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15</w:t>
            </w:r>
          </w:p>
        </w:tc>
      </w:tr>
      <w:tr>
        <w:tc>
          <w:tcPr>
            <w:tcW w:type="dxa" w:w="6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투입 인력 및 관리방안</w:t>
            </w:r>
          </w:p>
        </w:tc>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w:t>
            </w:r>
          </w:p>
        </w:tc>
      </w:tr>
      <w:tr>
        <w:tc>
          <w:tcPr>
            <w:tcW w:type="dxa" w:w="66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가격</w:t>
            </w:r>
          </w:p>
        </w:tc>
        <w:tc>
          <w:tcPr>
            <w:tcW w:type="dxa" w:w="24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w:t>
            </w:r>
          </w:p>
        </w:tc>
      </w:tr>
    </w:tbl>
    <w:p>
      <w:pPr>
        <w:spacing w:after="160"/>
      </w:pPr>
    </w:p>
    <w:p>
      <w:pPr>
        <w:spacing w:after="130" w:before="200"/>
      </w:pPr>
      <w:r>
        <w:rPr>
          <w:rFonts w:ascii="Malgun Gothic" w:cs="Malgun Gothic" w:eastAsia="Malgun Gothic" w:hAnsi="Malgun Gothic"/>
          <w:b/>
          <w:bCs/>
          <w:color w:val="1F3864"/>
          <w:sz w:val="26"/>
          <w:szCs w:val="26"/>
        </w:rPr>
        <w:t xml:space="preserve">9. 계약 및 대금 지급 조건</w:t>
      </w:r>
    </w:p>
    <w:p>
      <w:pPr>
        <w:spacing w:after="140" w:line="300"/>
        <w:jc w:val="both"/>
      </w:pPr>
      <w:r>
        <w:rPr>
          <w:rFonts w:ascii="Malgun Gothic" w:cs="Malgun Gothic" w:eastAsia="Malgun Gothic" w:hAnsi="Malgun Gothic"/>
          <w:sz w:val="21"/>
          <w:szCs w:val="21"/>
        </w:rPr>
        <w:t xml:space="preserve">계약은 협상에 의한 계약 방식으로 체결하며, 대금은 착수금 30%, 중도금 30%, 준공금 40%로 분할 지급한다. 각 단계의 대금은 해당 단계 산출물에 대한 발주처의 검수 완료 후 지급하며, 준공금은 최종 검사 합격 및 이관 교육 완료를 조건으로 한다. 하자보수 책임 기간은 준공일로부터 12개월로 한다.</w:t>
      </w:r>
    </w:p>
    <w:p>
      <w:pPr>
        <w:spacing w:after="160"/>
      </w:pPr>
    </w:p>
    <w:p>
      <w:pPr>
        <w:spacing w:after="130" w:before="200"/>
      </w:pPr>
      <w:r>
        <w:rPr>
          <w:rFonts w:ascii="Malgun Gothic" w:cs="Malgun Gothic" w:eastAsia="Malgun Gothic" w:hAnsi="Malgun Gothic"/>
          <w:b/>
          <w:bCs/>
          <w:color w:val="1F3864"/>
          <w:sz w:val="26"/>
          <w:szCs w:val="26"/>
        </w:rPr>
        <w:t xml:space="preserve">10. 유의사항 및 기타</w:t>
      </w:r>
    </w:p>
    <w:p>
      <w:pPr>
        <w:spacing w:after="140" w:line="300"/>
        <w:jc w:val="both"/>
      </w:pPr>
      <w:r>
        <w:rPr>
          <w:rFonts w:ascii="Malgun Gothic" w:cs="Malgun Gothic" w:eastAsia="Malgun Gothic" w:hAnsi="Malgun Gothic"/>
          <w:sz w:val="21"/>
          <w:szCs w:val="21"/>
        </w:rPr>
        <w:t xml:space="preserve">제안사는 본 제안요청서의 내용을 충분히 숙지하고 제안서를 작성하여야 하며, 제안 내용은 계약 시 이행 의무로 간주된다. 제안서 작성 및 제출에 소요되는 일체의 비용은 제안사가 부담한다. 제출된 제안서는 반환하지 않으며, 평가 및 계약 목적 외의 용도로 사용되지 아니한다. 본 문서에 명시되지 않은 사항은 국가를 당사자로 하는 계약에 관한 법령 및 관련 규정에 따른다.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2026-07-16T08:30:57.754Z</dcterms:created>
  <dcterms:modified xsi:type="dcterms:W3CDTF">2026-07-16T08:30:57.754Z</dcterms:modified>
</cp:coreProperties>
</file>

<file path=docProps/custom.xml><?xml version="1.0" encoding="utf-8"?>
<Properties xmlns="http://schemas.openxmlformats.org/officeDocument/2006/custom-properties" xmlns:vt="http://schemas.openxmlformats.org/officeDocument/2006/docPropsVTypes"/>
</file>