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企业级大数据处理平台项目交付文档包</w:t>
      </w:r>
    </w:p>
    <w:p>
      <w:pPr>
        <w:jc w:val="center"/>
      </w:pPr>
      <w:r>
        <w:t>需求规格说明书 / 概要设计 / 详细设计 / 验收方案</w:t>
      </w:r>
    </w:p>
    <w:p>
      <w:r>
        <w:t>版本：V1.0    日期：2026-06-02    适用阶段：立项、开发、联调、验收</w:t>
      </w:r>
    </w:p>
    <w:p/>
    <w:p>
      <w:pPr>
        <w:pStyle w:val="Heading1"/>
      </w:pPr>
      <w:r>
        <w:t>1. 项目概述</w:t>
      </w:r>
    </w:p>
    <w:p>
      <w:r>
        <w:t>面向数据团队、业务分析团队和平台运维团队，建设一个支持数据接入、批处理任务编排、数据质量监控、文件管理、权限审计和可视化运维的一体化后台系统。</w:t>
      </w:r>
    </w:p>
    <w:p>
      <w:pPr>
        <w:pStyle w:val="Heading1"/>
      </w:pPr>
      <w:r>
        <w:t>2. 建设目标</w:t>
      </w:r>
    </w:p>
    <w:p>
      <w:pPr>
        <w:pStyle w:val="ListBullet"/>
      </w:pPr>
      <w:r>
        <w:t>统一数据处理平台入口</w:t>
      </w:r>
    </w:p>
    <w:p>
      <w:pPr>
        <w:pStyle w:val="ListBullet"/>
      </w:pPr>
      <w:r>
        <w:t>可视化任务编排与运行追踪</w:t>
      </w:r>
    </w:p>
    <w:p>
      <w:pPr>
        <w:pStyle w:val="ListBullet"/>
      </w:pPr>
      <w:r>
        <w:t>数据质量和告警闭环</w:t>
      </w:r>
    </w:p>
    <w:p>
      <w:pPr>
        <w:pStyle w:val="ListBullet"/>
      </w:pPr>
      <w:r>
        <w:t>权限审计与安全可控</w:t>
      </w:r>
    </w:p>
    <w:p>
      <w:pPr>
        <w:pStyle w:val="ListBullet"/>
      </w:pPr>
      <w:r>
        <w:t>12 周内完成 MVP 上线验收</w:t>
      </w:r>
    </w:p>
    <w:p>
      <w:pPr>
        <w:pStyle w:val="Heading1"/>
      </w:pPr>
      <w: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016"/>
            <w:vAlign w:val="center"/>
          </w:tcPr>
          <w:p>
            <w:r>
              <w:t>平台管理员</w:t>
            </w:r>
          </w:p>
        </w:tc>
        <w:tc>
          <w:tcPr>
            <w:tcW w:type="dxa" w:w="8352"/>
            <w:vAlign w:val="center"/>
          </w:tcPr>
          <w:p>
            <w:r>
              <w:t>管理租户、角色、权限、系统参数、审计策略和全局资源配额。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数据工程师</w:t>
            </w:r>
          </w:p>
        </w:tc>
        <w:tc>
          <w:tcPr>
            <w:tcW w:type="dxa" w:w="8352"/>
            <w:vAlign w:val="center"/>
          </w:tcPr>
          <w:p>
            <w:r>
              <w:t>配置数据源、创建处理任务、维护调度计划、查看运行日志和产物。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数据分析师</w:t>
            </w:r>
          </w:p>
        </w:tc>
        <w:tc>
          <w:tcPr>
            <w:tcW w:type="dxa" w:w="8352"/>
            <w:vAlign w:val="center"/>
          </w:tcPr>
          <w:p>
            <w:r>
              <w:t>查看任务产出、质量报告、文件资产、指标看板和业务数据概览。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运维工程师</w:t>
            </w:r>
          </w:p>
        </w:tc>
        <w:tc>
          <w:tcPr>
            <w:tcW w:type="dxa" w:w="8352"/>
            <w:vAlign w:val="center"/>
          </w:tcPr>
          <w:p>
            <w:r>
              <w:t>监控服务健康、任务队列、资源使用率、告警事件和部署状态。</w:t>
            </w:r>
          </w:p>
        </w:tc>
      </w:tr>
      <w:tr>
        <w:tc>
          <w:tcPr>
            <w:tcW w:type="dxa" w:w="2016"/>
            <w:vAlign w:val="center"/>
          </w:tcPr>
          <w:p>
            <w:r>
              <w:t>审计员</w:t>
            </w:r>
          </w:p>
        </w:tc>
        <w:tc>
          <w:tcPr>
            <w:tcW w:type="dxa" w:w="8352"/>
            <w:vAlign w:val="center"/>
          </w:tcPr>
          <w:p>
            <w:r>
              <w:t>查看操作日志、权限变更、数据访问记录和敏感操作留痕。</w:t>
            </w:r>
          </w:p>
        </w:tc>
      </w:tr>
    </w:tbl>
    <w:p/>
    <w:p>
      <w:pPr>
        <w:pStyle w:val="Heading1"/>
      </w:pPr>
      <w:r>
        <w:t>4.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功能说明</w:t>
            </w:r>
          </w:p>
        </w:tc>
      </w:tr>
      <w:tr>
        <w:tc>
          <w:tcPr>
            <w:tcW w:type="dxa" w:w="2592"/>
            <w:vAlign w:val="center"/>
          </w:tcPr>
          <w:p>
            <w:r>
              <w:t>统一门户与认证</w:t>
            </w:r>
          </w:p>
        </w:tc>
        <w:tc>
          <w:tcPr>
            <w:tcW w:type="dxa" w:w="7776"/>
            <w:vAlign w:val="center"/>
          </w:tcPr>
          <w:p>
            <w:r>
              <w:t>登录、单点登录预留、验证码、Token 刷新、个人设置、密码策略。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权限与组织管理</w:t>
            </w:r>
          </w:p>
        </w:tc>
        <w:tc>
          <w:tcPr>
            <w:tcW w:type="dxa" w:w="7776"/>
            <w:vAlign w:val="center"/>
          </w:tcPr>
          <w:p>
            <w:r>
              <w:t>用户、角色、菜单、按钮权限、数据范围、部门与项目空间管理。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数据源管理</w:t>
            </w:r>
          </w:p>
        </w:tc>
        <w:tc>
          <w:tcPr>
            <w:tcW w:type="dxa" w:w="7776"/>
            <w:vAlign w:val="center"/>
          </w:tcPr>
          <w:p>
            <w:r>
              <w:t>PostgreSQL、MySQL、Hive、Kafka、S3/MinIO 等连接配置、连通性测试和凭据加密。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数据接入管理</w:t>
            </w:r>
          </w:p>
        </w:tc>
        <w:tc>
          <w:tcPr>
            <w:tcW w:type="dxa" w:w="7776"/>
            <w:vAlign w:val="center"/>
          </w:tcPr>
          <w:p>
            <w:r>
              <w:t>批量导入、文件上传、API 拉取、Kafka 订阅、接入任务模板和接入日志。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任务编排与调度</w:t>
            </w:r>
          </w:p>
        </w:tc>
        <w:tc>
          <w:tcPr>
            <w:tcW w:type="dxa" w:w="7776"/>
            <w:vAlign w:val="center"/>
          </w:tcPr>
          <w:p>
            <w:r>
              <w:t>DAG 任务、依赖配置、定时策略、补数、重跑、暂停、失败转人工。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数据处理引擎适配</w:t>
            </w:r>
          </w:p>
        </w:tc>
        <w:tc>
          <w:tcPr>
            <w:tcW w:type="dxa" w:w="7776"/>
            <w:vAlign w:val="center"/>
          </w:tcPr>
          <w:p>
            <w:r>
              <w:t>Spark/Flink/Spring Batch 任务提交、参数化运行、结果回写和状态同步。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数据质量监控</w:t>
            </w:r>
          </w:p>
        </w:tc>
        <w:tc>
          <w:tcPr>
            <w:tcW w:type="dxa" w:w="7776"/>
            <w:vAlign w:val="center"/>
          </w:tcPr>
          <w:p>
            <w:r>
              <w:t>质量规则、校验任务、阈值告警、趋势分析、质量报告和问题闭环。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文件与产物管理</w:t>
            </w:r>
          </w:p>
        </w:tc>
        <w:tc>
          <w:tcPr>
            <w:tcW w:type="dxa" w:w="7776"/>
            <w:vAlign w:val="center"/>
          </w:tcPr>
          <w:p>
            <w:r>
              <w:t>MinIO 文件桶、上传下载、预览、版本、标签、生命周期和授权访问。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告警与通知</w:t>
            </w:r>
          </w:p>
        </w:tc>
        <w:tc>
          <w:tcPr>
            <w:tcW w:type="dxa" w:w="7776"/>
            <w:vAlign w:val="center"/>
          </w:tcPr>
          <w:p>
            <w:r>
              <w:t>站内信、邮件/Webhook 预留、告警规则、通知模板、升级策略。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运维监控</w:t>
            </w:r>
          </w:p>
        </w:tc>
        <w:tc>
          <w:tcPr>
            <w:tcW w:type="dxa" w:w="7776"/>
            <w:vAlign w:val="center"/>
          </w:tcPr>
          <w:p>
            <w:r>
              <w:t>服务健康、任务运行态、队列、Redis/PostgreSQL/MinIO 指标、慢接口追踪。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审计日志</w:t>
            </w:r>
          </w:p>
        </w:tc>
        <w:tc>
          <w:tcPr>
            <w:tcW w:type="dxa" w:w="7776"/>
            <w:vAlign w:val="center"/>
          </w:tcPr>
          <w:p>
            <w:r>
              <w:t>登录日志、操作日志、数据访问日志、权限变更日志、导出审计。</w:t>
            </w:r>
          </w:p>
        </w:tc>
      </w:tr>
      <w:tr>
        <w:tc>
          <w:tcPr>
            <w:tcW w:type="dxa" w:w="2592"/>
            <w:vAlign w:val="center"/>
          </w:tcPr>
          <w:p>
            <w:r>
              <w:t>系统配置</w:t>
            </w:r>
          </w:p>
        </w:tc>
        <w:tc>
          <w:tcPr>
            <w:tcW w:type="dxa" w:w="7776"/>
            <w:vAlign w:val="center"/>
          </w:tcPr>
          <w:p>
            <w:r>
              <w:t>字典、参数、密钥轮换策略、租户配额、菜单配置和版本信息。</w:t>
            </w:r>
          </w:p>
        </w:tc>
      </w:tr>
    </w:tbl>
    <w:p/>
    <w:p>
      <w:pPr>
        <w:pStyle w:val="Heading1"/>
      </w:pPr>
      <w:r>
        <w:t>5.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核心能力</w:t>
            </w:r>
          </w:p>
        </w:tc>
      </w:tr>
      <w:tr>
        <w:tc>
          <w:tcPr>
            <w:tcW w:type="dxa" w:w="2304"/>
            <w:vAlign w:val="center"/>
          </w:tcPr>
          <w:p>
            <w:r>
              <w:t>登录页</w:t>
            </w:r>
          </w:p>
        </w:tc>
        <w:tc>
          <w:tcPr>
            <w:tcW w:type="dxa" w:w="1728"/>
            <w:vAlign w:val="center"/>
          </w:tcPr>
          <w:p>
            <w:r>
              <w:t>认证</w:t>
            </w:r>
          </w:p>
        </w:tc>
        <w:tc>
          <w:tcPr>
            <w:tcW w:type="dxa" w:w="6336"/>
            <w:vAlign w:val="center"/>
          </w:tcPr>
          <w:p>
            <w:r>
              <w:t>账号密码、验证码、记住登录、安全错误提示</w:t>
            </w:r>
          </w:p>
        </w:tc>
      </w:tr>
      <w:tr>
        <w:tc>
          <w:tcPr>
            <w:tcW w:type="dxa" w:w="2304"/>
            <w:vAlign w:val="center"/>
          </w:tcPr>
          <w:p>
            <w:r>
              <w:t>总览看板</w:t>
            </w:r>
          </w:p>
        </w:tc>
        <w:tc>
          <w:tcPr>
            <w:tcW w:type="dxa" w:w="1728"/>
            <w:vAlign w:val="center"/>
          </w:tcPr>
          <w:p>
            <w:r>
              <w:t>运营</w:t>
            </w:r>
          </w:p>
        </w:tc>
        <w:tc>
          <w:tcPr>
            <w:tcW w:type="dxa" w:w="6336"/>
            <w:vAlign w:val="center"/>
          </w:tcPr>
          <w:p>
            <w:r>
              <w:t>任务成功率、处理量、异常趋势、资源状态、待处理告警</w:t>
            </w:r>
          </w:p>
        </w:tc>
      </w:tr>
      <w:tr>
        <w:tc>
          <w:tcPr>
            <w:tcW w:type="dxa" w:w="2304"/>
            <w:vAlign w:val="center"/>
          </w:tcPr>
          <w:p>
            <w:r>
              <w:t>数据源列表/详情</w:t>
            </w:r>
          </w:p>
        </w:tc>
        <w:tc>
          <w:tcPr>
            <w:tcW w:type="dxa" w:w="1728"/>
            <w:vAlign w:val="center"/>
          </w:tcPr>
          <w:p>
            <w:r>
              <w:t>数据接入</w:t>
            </w:r>
          </w:p>
        </w:tc>
        <w:tc>
          <w:tcPr>
            <w:tcW w:type="dxa" w:w="6336"/>
            <w:vAlign w:val="center"/>
          </w:tcPr>
          <w:p>
            <w:r>
              <w:t>筛选、连通性测试、凭据状态、影响任务</w:t>
            </w:r>
          </w:p>
        </w:tc>
      </w:tr>
      <w:tr>
        <w:tc>
          <w:tcPr>
            <w:tcW w:type="dxa" w:w="2304"/>
            <w:vAlign w:val="center"/>
          </w:tcPr>
          <w:p>
            <w:r>
              <w:t>接入任务配置</w:t>
            </w:r>
          </w:p>
        </w:tc>
        <w:tc>
          <w:tcPr>
            <w:tcW w:type="dxa" w:w="1728"/>
            <w:vAlign w:val="center"/>
          </w:tcPr>
          <w:p>
            <w:r>
              <w:t>数据接入</w:t>
            </w:r>
          </w:p>
        </w:tc>
        <w:tc>
          <w:tcPr>
            <w:tcW w:type="dxa" w:w="6336"/>
            <w:vAlign w:val="center"/>
          </w:tcPr>
          <w:p>
            <w:r>
              <w:t>来源、目标、字段映射、增量策略、预检查</w:t>
            </w:r>
          </w:p>
        </w:tc>
      </w:tr>
      <w:tr>
        <w:tc>
          <w:tcPr>
            <w:tcW w:type="dxa" w:w="2304"/>
            <w:vAlign w:val="center"/>
          </w:tcPr>
          <w:p>
            <w:r>
              <w:t>任务编排画布</w:t>
            </w:r>
          </w:p>
        </w:tc>
        <w:tc>
          <w:tcPr>
            <w:tcW w:type="dxa" w:w="1728"/>
            <w:vAlign w:val="center"/>
          </w:tcPr>
          <w:p>
            <w:r>
              <w:t>调度</w:t>
            </w:r>
          </w:p>
        </w:tc>
        <w:tc>
          <w:tcPr>
            <w:tcW w:type="dxa" w:w="6336"/>
            <w:vAlign w:val="center"/>
          </w:tcPr>
          <w:p>
            <w:r>
              <w:t>DAG 节点、依赖、参数、调度计划、手动触发</w:t>
            </w:r>
          </w:p>
        </w:tc>
      </w:tr>
      <w:tr>
        <w:tc>
          <w:tcPr>
            <w:tcW w:type="dxa" w:w="2304"/>
            <w:vAlign w:val="center"/>
          </w:tcPr>
          <w:p>
            <w:r>
              <w:t>任务实例列表/详情</w:t>
            </w:r>
          </w:p>
        </w:tc>
        <w:tc>
          <w:tcPr>
            <w:tcW w:type="dxa" w:w="1728"/>
            <w:vAlign w:val="center"/>
          </w:tcPr>
          <w:p>
            <w:r>
              <w:t>调度</w:t>
            </w:r>
          </w:p>
        </w:tc>
        <w:tc>
          <w:tcPr>
            <w:tcW w:type="dxa" w:w="6336"/>
            <w:vAlign w:val="center"/>
          </w:tcPr>
          <w:p>
            <w:r>
              <w:t>运行状态、日志、耗时、输入输出、重跑/终止</w:t>
            </w:r>
          </w:p>
        </w:tc>
      </w:tr>
      <w:tr>
        <w:tc>
          <w:tcPr>
            <w:tcW w:type="dxa" w:w="2304"/>
            <w:vAlign w:val="center"/>
          </w:tcPr>
          <w:p>
            <w:r>
              <w:t>质量规则管理</w:t>
            </w:r>
          </w:p>
        </w:tc>
        <w:tc>
          <w:tcPr>
            <w:tcW w:type="dxa" w:w="1728"/>
            <w:vAlign w:val="center"/>
          </w:tcPr>
          <w:p>
            <w:r>
              <w:t>质量</w:t>
            </w:r>
          </w:p>
        </w:tc>
        <w:tc>
          <w:tcPr>
            <w:tcW w:type="dxa" w:w="6336"/>
            <w:vAlign w:val="center"/>
          </w:tcPr>
          <w:p>
            <w:r>
              <w:t>规则模板、阈值、适用表、执行频率、负责人</w:t>
            </w:r>
          </w:p>
        </w:tc>
      </w:tr>
      <w:tr>
        <w:tc>
          <w:tcPr>
            <w:tcW w:type="dxa" w:w="2304"/>
            <w:vAlign w:val="center"/>
          </w:tcPr>
          <w:p>
            <w:r>
              <w:t>质量报告</w:t>
            </w:r>
          </w:p>
        </w:tc>
        <w:tc>
          <w:tcPr>
            <w:tcW w:type="dxa" w:w="1728"/>
            <w:vAlign w:val="center"/>
          </w:tcPr>
          <w:p>
            <w:r>
              <w:t>质量</w:t>
            </w:r>
          </w:p>
        </w:tc>
        <w:tc>
          <w:tcPr>
            <w:tcW w:type="dxa" w:w="6336"/>
            <w:vAlign w:val="center"/>
          </w:tcPr>
          <w:p>
            <w:r>
              <w:t>通过率、异常字段、样本明细、趋势图、处理状态</w:t>
            </w:r>
          </w:p>
        </w:tc>
      </w:tr>
      <w:tr>
        <w:tc>
          <w:tcPr>
            <w:tcW w:type="dxa" w:w="2304"/>
            <w:vAlign w:val="center"/>
          </w:tcPr>
          <w:p>
            <w:r>
              <w:t>文件资产库</w:t>
            </w:r>
          </w:p>
        </w:tc>
        <w:tc>
          <w:tcPr>
            <w:tcW w:type="dxa" w:w="1728"/>
            <w:vAlign w:val="center"/>
          </w:tcPr>
          <w:p>
            <w:r>
              <w:t>文件</w:t>
            </w:r>
          </w:p>
        </w:tc>
        <w:tc>
          <w:tcPr>
            <w:tcW w:type="dxa" w:w="6336"/>
            <w:vAlign w:val="center"/>
          </w:tcPr>
          <w:p>
            <w:r>
              <w:t>桶、目录、标签、上传、预览、下载、版本</w:t>
            </w:r>
          </w:p>
        </w:tc>
      </w:tr>
      <w:tr>
        <w:tc>
          <w:tcPr>
            <w:tcW w:type="dxa" w:w="2304"/>
            <w:vAlign w:val="center"/>
          </w:tcPr>
          <w:p>
            <w:r>
              <w:t>告警中心</w:t>
            </w:r>
          </w:p>
        </w:tc>
        <w:tc>
          <w:tcPr>
            <w:tcW w:type="dxa" w:w="1728"/>
            <w:vAlign w:val="center"/>
          </w:tcPr>
          <w:p>
            <w:r>
              <w:t>通知</w:t>
            </w:r>
          </w:p>
        </w:tc>
        <w:tc>
          <w:tcPr>
            <w:tcW w:type="dxa" w:w="6336"/>
            <w:vAlign w:val="center"/>
          </w:tcPr>
          <w:p>
            <w:r>
              <w:t>告警列表、确认、关闭、升级、订阅配置</w:t>
            </w:r>
          </w:p>
        </w:tc>
      </w:tr>
      <w:tr>
        <w:tc>
          <w:tcPr>
            <w:tcW w:type="dxa" w:w="2304"/>
            <w:vAlign w:val="center"/>
          </w:tcPr>
          <w:p>
            <w:r>
              <w:t>用户与角色</w:t>
            </w:r>
          </w:p>
        </w:tc>
        <w:tc>
          <w:tcPr>
            <w:tcW w:type="dxa" w:w="1728"/>
            <w:vAlign w:val="center"/>
          </w:tcPr>
          <w:p>
            <w:r>
              <w:t>权限</w:t>
            </w:r>
          </w:p>
        </w:tc>
        <w:tc>
          <w:tcPr>
            <w:tcW w:type="dxa" w:w="6336"/>
            <w:vAlign w:val="center"/>
          </w:tcPr>
          <w:p>
            <w:r>
              <w:t>用户、角色、菜单权限、数据权限、批量授权</w:t>
            </w:r>
          </w:p>
        </w:tc>
      </w:tr>
      <w:tr>
        <w:tc>
          <w:tcPr>
            <w:tcW w:type="dxa" w:w="2304"/>
            <w:vAlign w:val="center"/>
          </w:tcPr>
          <w:p>
            <w:r>
              <w:t>审计日志</w:t>
            </w:r>
          </w:p>
        </w:tc>
        <w:tc>
          <w:tcPr>
            <w:tcW w:type="dxa" w:w="1728"/>
            <w:vAlign w:val="center"/>
          </w:tcPr>
          <w:p>
            <w:r>
              <w:t>安全</w:t>
            </w:r>
          </w:p>
        </w:tc>
        <w:tc>
          <w:tcPr>
            <w:tcW w:type="dxa" w:w="6336"/>
            <w:vAlign w:val="center"/>
          </w:tcPr>
          <w:p>
            <w:r>
              <w:t>登录、操作、数据访问、导出记录、多条件查询</w:t>
            </w:r>
          </w:p>
        </w:tc>
      </w:tr>
      <w:tr>
        <w:tc>
          <w:tcPr>
            <w:tcW w:type="dxa" w:w="2304"/>
            <w:vAlign w:val="center"/>
          </w:tcPr>
          <w:p>
            <w:r>
              <w:t>系统监控</w:t>
            </w:r>
          </w:p>
        </w:tc>
        <w:tc>
          <w:tcPr>
            <w:tcW w:type="dxa" w:w="1728"/>
            <w:vAlign w:val="center"/>
          </w:tcPr>
          <w:p>
            <w:r>
              <w:t>运维</w:t>
            </w:r>
          </w:p>
        </w:tc>
        <w:tc>
          <w:tcPr>
            <w:tcW w:type="dxa" w:w="6336"/>
            <w:vAlign w:val="center"/>
          </w:tcPr>
          <w:p>
            <w:r>
              <w:t>服务、数据库、缓存、存储、接口耗时</w:t>
            </w:r>
          </w:p>
        </w:tc>
      </w:tr>
      <w:tr>
        <w:tc>
          <w:tcPr>
            <w:tcW w:type="dxa" w:w="2304"/>
            <w:vAlign w:val="center"/>
          </w:tcPr>
          <w:p>
            <w:r>
              <w:t>系统设置</w:t>
            </w:r>
          </w:p>
        </w:tc>
        <w:tc>
          <w:tcPr>
            <w:tcW w:type="dxa" w:w="1728"/>
            <w:vAlign w:val="center"/>
          </w:tcPr>
          <w:p>
            <w:r>
              <w:t>配置</w:t>
            </w:r>
          </w:p>
        </w:tc>
        <w:tc>
          <w:tcPr>
            <w:tcW w:type="dxa" w:w="6336"/>
            <w:vAlign w:val="center"/>
          </w:tcPr>
          <w:p>
            <w:r>
              <w:t>字典、参数、租户配额、密钥轮换、版本信息</w:t>
            </w:r>
          </w:p>
        </w:tc>
      </w:tr>
    </w:tbl>
    <w:p/>
    <w:p>
      <w:pPr>
        <w:pStyle w:val="Heading1"/>
      </w:pPr>
      <w:r>
        <w:t>6. 数据库表设计</w:t>
      </w:r>
    </w:p>
    <w:p>
      <w:r>
        <w:t>所有业务表统一包含审计字段；任务实例、审计日志、质量结果等高频查询表按时间和状态建立索引。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关键字段</w:t>
            </w:r>
          </w:p>
        </w:tc>
      </w:tr>
      <w:tr>
        <w:tc>
          <w:tcPr>
            <w:tcW w:type="dxa" w:w="2088"/>
            <w:vAlign w:val="center"/>
          </w:tcPr>
          <w:p>
            <w:r>
              <w:t>sys_user</w:t>
            </w:r>
          </w:p>
        </w:tc>
        <w:tc>
          <w:tcPr>
            <w:tcW w:type="dxa" w:w="2088"/>
            <w:vAlign w:val="center"/>
          </w:tcPr>
          <w:p>
            <w:r>
              <w:t>用户账号</w:t>
            </w:r>
          </w:p>
        </w:tc>
        <w:tc>
          <w:tcPr>
            <w:tcW w:type="dxa" w:w="6768"/>
            <w:vAlign w:val="center"/>
          </w:tcPr>
          <w:p>
            <w:r>
              <w:t>id, username, password_hash, display_name, email, phone, status, dept_id, last_login_at,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sys_role</w:t>
            </w:r>
          </w:p>
        </w:tc>
        <w:tc>
          <w:tcPr>
            <w:tcW w:type="dxa" w:w="2088"/>
            <w:vAlign w:val="center"/>
          </w:tcPr>
          <w:p>
            <w:r>
              <w:t>角色</w:t>
            </w:r>
          </w:p>
        </w:tc>
        <w:tc>
          <w:tcPr>
            <w:tcW w:type="dxa" w:w="6768"/>
            <w:vAlign w:val="center"/>
          </w:tcPr>
          <w:p>
            <w:r>
              <w:t>id, code, name, description, status,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sys_user_role</w:t>
            </w:r>
          </w:p>
        </w:tc>
        <w:tc>
          <w:tcPr>
            <w:tcW w:type="dxa" w:w="2088"/>
            <w:vAlign w:val="center"/>
          </w:tcPr>
          <w:p>
            <w:r>
              <w:t>用户角色关联</w:t>
            </w:r>
          </w:p>
        </w:tc>
        <w:tc>
          <w:tcPr>
            <w:tcW w:type="dxa" w:w="6768"/>
            <w:vAlign w:val="center"/>
          </w:tcPr>
          <w:p>
            <w:r>
              <w:t>user_id, role_id</w:t>
            </w:r>
          </w:p>
        </w:tc>
      </w:tr>
      <w:tr>
        <w:tc>
          <w:tcPr>
            <w:tcW w:type="dxa" w:w="2088"/>
            <w:vAlign w:val="center"/>
          </w:tcPr>
          <w:p>
            <w:r>
              <w:t>sys_permission</w:t>
            </w:r>
          </w:p>
        </w:tc>
        <w:tc>
          <w:tcPr>
            <w:tcW w:type="dxa" w:w="2088"/>
            <w:vAlign w:val="center"/>
          </w:tcPr>
          <w:p>
            <w:r>
              <w:t>菜单与按钮权限</w:t>
            </w:r>
          </w:p>
        </w:tc>
        <w:tc>
          <w:tcPr>
            <w:tcW w:type="dxa" w:w="6768"/>
            <w:vAlign w:val="center"/>
          </w:tcPr>
          <w:p>
            <w:r>
              <w:t>id, parent_id, code, name, type, route_path, component, sort_no</w:t>
            </w:r>
          </w:p>
        </w:tc>
      </w:tr>
      <w:tr>
        <w:tc>
          <w:tcPr>
            <w:tcW w:type="dxa" w:w="2088"/>
            <w:vAlign w:val="center"/>
          </w:tcPr>
          <w:p>
            <w:r>
              <w:t>sys_audit_log</w:t>
            </w:r>
          </w:p>
        </w:tc>
        <w:tc>
          <w:tcPr>
            <w:tcW w:type="dxa" w:w="2088"/>
            <w:vAlign w:val="center"/>
          </w:tcPr>
          <w:p>
            <w:r>
              <w:t>审计日志</w:t>
            </w:r>
          </w:p>
        </w:tc>
        <w:tc>
          <w:tcPr>
            <w:tcW w:type="dxa" w:w="6768"/>
            <w:vAlign w:val="center"/>
          </w:tcPr>
          <w:p>
            <w:r>
              <w:t>id, user_id, action, resource_type, resource_id, ip, user_agent, result,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data_source</w:t>
            </w:r>
          </w:p>
        </w:tc>
        <w:tc>
          <w:tcPr>
            <w:tcW w:type="dxa" w:w="2088"/>
            <w:vAlign w:val="center"/>
          </w:tcPr>
          <w:p>
            <w:r>
              <w:t>数据源配置</w:t>
            </w:r>
          </w:p>
        </w:tc>
        <w:tc>
          <w:tcPr>
            <w:tcW w:type="dxa" w:w="6768"/>
            <w:vAlign w:val="center"/>
          </w:tcPr>
          <w:p>
            <w:r>
              <w:t>id, name, type, host, port, database_name, credential_ref, status, owner_id,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ingest_job</w:t>
            </w:r>
          </w:p>
        </w:tc>
        <w:tc>
          <w:tcPr>
            <w:tcW w:type="dxa" w:w="2088"/>
            <w:vAlign w:val="center"/>
          </w:tcPr>
          <w:p>
            <w:r>
              <w:t>数据接入任务</w:t>
            </w:r>
          </w:p>
        </w:tc>
        <w:tc>
          <w:tcPr>
            <w:tcW w:type="dxa" w:w="6768"/>
            <w:vAlign w:val="center"/>
          </w:tcPr>
          <w:p>
            <w:r>
              <w:t>id, name, source_id, target_type, target_ref, mode, schedule_cron, status, owner_id</w:t>
            </w:r>
          </w:p>
        </w:tc>
      </w:tr>
      <w:tr>
        <w:tc>
          <w:tcPr>
            <w:tcW w:type="dxa" w:w="2088"/>
            <w:vAlign w:val="center"/>
          </w:tcPr>
          <w:p>
            <w:r>
              <w:t>workflow</w:t>
            </w:r>
          </w:p>
        </w:tc>
        <w:tc>
          <w:tcPr>
            <w:tcW w:type="dxa" w:w="2088"/>
            <w:vAlign w:val="center"/>
          </w:tcPr>
          <w:p>
            <w:r>
              <w:t>任务编排定义</w:t>
            </w:r>
          </w:p>
        </w:tc>
        <w:tc>
          <w:tcPr>
            <w:tcW w:type="dxa" w:w="6768"/>
            <w:vAlign w:val="center"/>
          </w:tcPr>
          <w:p>
            <w:r>
              <w:t>id, name, version, dag_json, status, owner_id, published_at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workflow_node</w:t>
            </w:r>
          </w:p>
        </w:tc>
        <w:tc>
          <w:tcPr>
            <w:tcW w:type="dxa" w:w="2088"/>
            <w:vAlign w:val="center"/>
          </w:tcPr>
          <w:p>
            <w:r>
              <w:t>编排节点</w:t>
            </w:r>
          </w:p>
        </w:tc>
        <w:tc>
          <w:tcPr>
            <w:tcW w:type="dxa" w:w="6768"/>
            <w:vAlign w:val="center"/>
          </w:tcPr>
          <w:p>
            <w:r>
              <w:t>id, workflow_id, node_key, node_type, config_json, retry_policy, timeout_sec</w:t>
            </w:r>
          </w:p>
        </w:tc>
      </w:tr>
      <w:tr>
        <w:tc>
          <w:tcPr>
            <w:tcW w:type="dxa" w:w="2088"/>
            <w:vAlign w:val="center"/>
          </w:tcPr>
          <w:p>
            <w:r>
              <w:t>job_instance</w:t>
            </w:r>
          </w:p>
        </w:tc>
        <w:tc>
          <w:tcPr>
            <w:tcW w:type="dxa" w:w="2088"/>
            <w:vAlign w:val="center"/>
          </w:tcPr>
          <w:p>
            <w:r>
              <w:t>任务实例</w:t>
            </w:r>
          </w:p>
        </w:tc>
        <w:tc>
          <w:tcPr>
            <w:tcW w:type="dxa" w:w="6768"/>
            <w:vAlign w:val="center"/>
          </w:tcPr>
          <w:p>
            <w:r>
              <w:t>id, workflow_id, trigger_type, status, started_at, ended_at, duration_ms, error_message</w:t>
            </w:r>
          </w:p>
        </w:tc>
      </w:tr>
      <w:tr>
        <w:tc>
          <w:tcPr>
            <w:tcW w:type="dxa" w:w="2088"/>
            <w:vAlign w:val="center"/>
          </w:tcPr>
          <w:p>
            <w:r>
              <w:t>job_step_log</w:t>
            </w:r>
          </w:p>
        </w:tc>
        <w:tc>
          <w:tcPr>
            <w:tcW w:type="dxa" w:w="2088"/>
            <w:vAlign w:val="center"/>
          </w:tcPr>
          <w:p>
            <w:r>
              <w:t>节点运行日志</w:t>
            </w:r>
          </w:p>
        </w:tc>
        <w:tc>
          <w:tcPr>
            <w:tcW w:type="dxa" w:w="6768"/>
            <w:vAlign w:val="center"/>
          </w:tcPr>
          <w:p>
            <w:r>
              <w:t>id, instance_id, node_key, status, log_uri, metrics_json, started_at, ended_at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quality_rule</w:t>
            </w:r>
          </w:p>
        </w:tc>
        <w:tc>
          <w:tcPr>
            <w:tcW w:type="dxa" w:w="2088"/>
            <w:vAlign w:val="center"/>
          </w:tcPr>
          <w:p>
            <w:r>
              <w:t>数据质量规则</w:t>
            </w:r>
          </w:p>
        </w:tc>
        <w:tc>
          <w:tcPr>
            <w:tcW w:type="dxa" w:w="6768"/>
            <w:vAlign w:val="center"/>
          </w:tcPr>
          <w:p>
            <w:r>
              <w:t>id, name, rule_type, target_table, target_field, threshold_json, owner_id, status</w:t>
            </w:r>
          </w:p>
        </w:tc>
      </w:tr>
      <w:tr>
        <w:tc>
          <w:tcPr>
            <w:tcW w:type="dxa" w:w="2088"/>
            <w:vAlign w:val="center"/>
          </w:tcPr>
          <w:p>
            <w:r>
              <w:t>quality_run</w:t>
            </w:r>
          </w:p>
        </w:tc>
        <w:tc>
          <w:tcPr>
            <w:tcW w:type="dxa" w:w="2088"/>
            <w:vAlign w:val="center"/>
          </w:tcPr>
          <w:p>
            <w:r>
              <w:t>质量检测结果</w:t>
            </w:r>
          </w:p>
        </w:tc>
        <w:tc>
          <w:tcPr>
            <w:tcW w:type="dxa" w:w="6768"/>
            <w:vAlign w:val="center"/>
          </w:tcPr>
          <w:p>
            <w:r>
              <w:t>id, rule_id, job_instance_id, status, score, failed_count, report_uri,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file_asset</w:t>
            </w:r>
          </w:p>
        </w:tc>
        <w:tc>
          <w:tcPr>
            <w:tcW w:type="dxa" w:w="2088"/>
            <w:vAlign w:val="center"/>
          </w:tcPr>
          <w:p>
            <w:r>
              <w:t>文件资产</w:t>
            </w:r>
          </w:p>
        </w:tc>
        <w:tc>
          <w:tcPr>
            <w:tcW w:type="dxa" w:w="6768"/>
            <w:vAlign w:val="center"/>
          </w:tcPr>
          <w:p>
            <w:r>
              <w:t>id, bucket, object_key, file_name, file_size, content_type, version, tags_json, owner_id</w:t>
            </w:r>
          </w:p>
        </w:tc>
      </w:tr>
      <w:tr>
        <w:tc>
          <w:tcPr>
            <w:tcW w:type="dxa" w:w="2088"/>
            <w:vAlign w:val="center"/>
          </w:tcPr>
          <w:p>
            <w:r>
              <w:t>alert_event</w:t>
            </w:r>
          </w:p>
        </w:tc>
        <w:tc>
          <w:tcPr>
            <w:tcW w:type="dxa" w:w="2088"/>
            <w:vAlign w:val="center"/>
          </w:tcPr>
          <w:p>
            <w:r>
              <w:t>告警事件</w:t>
            </w:r>
          </w:p>
        </w:tc>
        <w:tc>
          <w:tcPr>
            <w:tcW w:type="dxa" w:w="6768"/>
            <w:vAlign w:val="center"/>
          </w:tcPr>
          <w:p>
            <w:r>
              <w:t>id, level, source_type, source_id, title, content, status, assignee_id, created_at</w:t>
            </w:r>
          </w:p>
        </w:tc>
      </w:tr>
      <w:tr>
        <w:tc>
          <w:tcPr>
            <w:tcW w:type="dxa" w:w="2088"/>
            <w:vAlign w:val="center"/>
          </w:tcPr>
          <w:p>
            <w:r>
              <w:t>notification</w:t>
            </w:r>
          </w:p>
        </w:tc>
        <w:tc>
          <w:tcPr>
            <w:tcW w:type="dxa" w:w="2088"/>
            <w:vAlign w:val="center"/>
          </w:tcPr>
          <w:p>
            <w:r>
              <w:t>通知记录</w:t>
            </w:r>
          </w:p>
        </w:tc>
        <w:tc>
          <w:tcPr>
            <w:tcW w:type="dxa" w:w="6768"/>
            <w:vAlign w:val="center"/>
          </w:tcPr>
          <w:p>
            <w:r>
              <w:t>id, user_id, channel, title, content, read_at, created_at</w:t>
            </w:r>
          </w:p>
        </w:tc>
      </w:tr>
    </w:tbl>
    <w:p/>
    <w:p>
      <w:pPr>
        <w:pStyle w:val="Heading1"/>
      </w:pPr>
      <w:r>
        <w:t>7. API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/api/auth/login</w:t>
            </w:r>
          </w:p>
        </w:tc>
        <w:tc>
          <w:tcPr>
            <w:tcW w:type="dxa" w:w="4464"/>
            <w:vAlign w:val="center"/>
          </w:tcPr>
          <w:p>
            <w:r>
              <w:t>登录并签发访问令牌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/api/dashboard/summary</w:t>
            </w:r>
          </w:p>
        </w:tc>
        <w:tc>
          <w:tcPr>
            <w:tcW w:type="dxa" w:w="4464"/>
            <w:vAlign w:val="center"/>
          </w:tcPr>
          <w:p>
            <w:r>
              <w:t>查询总览指标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/api/data-sources</w:t>
            </w:r>
          </w:p>
        </w:tc>
        <w:tc>
          <w:tcPr>
            <w:tcW w:type="dxa" w:w="4464"/>
            <w:vAlign w:val="center"/>
          </w:tcPr>
          <w:p>
            <w:r>
              <w:t>数据源增删改查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/api/data-sources/{id}/test</w:t>
            </w:r>
          </w:p>
        </w:tc>
        <w:tc>
          <w:tcPr>
            <w:tcW w:type="dxa" w:w="4464"/>
            <w:vAlign w:val="center"/>
          </w:tcPr>
          <w:p>
            <w:r>
              <w:t>测试数据源连接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/api/ingest-jobs</w:t>
            </w:r>
          </w:p>
        </w:tc>
        <w:tc>
          <w:tcPr>
            <w:tcW w:type="dxa" w:w="4464"/>
            <w:vAlign w:val="center"/>
          </w:tcPr>
          <w:p>
            <w:r>
              <w:t>接入任务管理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/api/ingest-jobs/{id}/run</w:t>
            </w:r>
          </w:p>
        </w:tc>
        <w:tc>
          <w:tcPr>
            <w:tcW w:type="dxa" w:w="4464"/>
            <w:vAlign w:val="center"/>
          </w:tcPr>
          <w:p>
            <w:r>
              <w:t>手动触发接入任务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/api/workflows</w:t>
            </w:r>
          </w:p>
        </w:tc>
        <w:tc>
          <w:tcPr>
            <w:tcW w:type="dxa" w:w="4464"/>
            <w:vAlign w:val="center"/>
          </w:tcPr>
          <w:p>
            <w:r>
              <w:t>任务编排定义管理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/api/workflows/{id}/publish</w:t>
            </w:r>
          </w:p>
        </w:tc>
        <w:tc>
          <w:tcPr>
            <w:tcW w:type="dxa" w:w="4464"/>
            <w:vAlign w:val="center"/>
          </w:tcPr>
          <w:p>
            <w:r>
              <w:t>发布任务编排版本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/api/workflows/{id}/trigger</w:t>
            </w:r>
          </w:p>
        </w:tc>
        <w:tc>
          <w:tcPr>
            <w:tcW w:type="dxa" w:w="4464"/>
            <w:vAlign w:val="center"/>
          </w:tcPr>
          <w:p>
            <w:r>
              <w:t>触发工作流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/api/job-instances</w:t>
            </w:r>
          </w:p>
        </w:tc>
        <w:tc>
          <w:tcPr>
            <w:tcW w:type="dxa" w:w="4464"/>
            <w:vAlign w:val="center"/>
          </w:tcPr>
          <w:p>
            <w:r>
              <w:t>查询任务实例列表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/api/job-instances/{id}/logs</w:t>
            </w:r>
          </w:p>
        </w:tc>
        <w:tc>
          <w:tcPr>
            <w:tcW w:type="dxa" w:w="4464"/>
            <w:vAlign w:val="center"/>
          </w:tcPr>
          <w:p>
            <w:r>
              <w:t>查询实例日志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POST</w:t>
            </w:r>
          </w:p>
        </w:tc>
        <w:tc>
          <w:tcPr>
            <w:tcW w:type="dxa" w:w="4032"/>
            <w:vAlign w:val="center"/>
          </w:tcPr>
          <w:p>
            <w:r>
              <w:t>/api/job-instances/{id}/retry</w:t>
            </w:r>
          </w:p>
        </w:tc>
        <w:tc>
          <w:tcPr>
            <w:tcW w:type="dxa" w:w="4464"/>
            <w:vAlign w:val="center"/>
          </w:tcPr>
          <w:p>
            <w:r>
              <w:t>重跑失败实例或节点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/api/quality-rules</w:t>
            </w:r>
          </w:p>
        </w:tc>
        <w:tc>
          <w:tcPr>
            <w:tcW w:type="dxa" w:w="4464"/>
            <w:vAlign w:val="center"/>
          </w:tcPr>
          <w:p>
            <w:r>
              <w:t>质量规则管理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/api/quality-runs/{id}/report</w:t>
            </w:r>
          </w:p>
        </w:tc>
        <w:tc>
          <w:tcPr>
            <w:tcW w:type="dxa" w:w="4464"/>
            <w:vAlign w:val="center"/>
          </w:tcPr>
          <w:p>
            <w:r>
              <w:t>质量报告详情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GET/POST/DELETE</w:t>
            </w:r>
          </w:p>
        </w:tc>
        <w:tc>
          <w:tcPr>
            <w:tcW w:type="dxa" w:w="4032"/>
            <w:vAlign w:val="center"/>
          </w:tcPr>
          <w:p>
            <w:r>
              <w:t>/api/files</w:t>
            </w:r>
          </w:p>
        </w:tc>
        <w:tc>
          <w:tcPr>
            <w:tcW w:type="dxa" w:w="4464"/>
            <w:vAlign w:val="center"/>
          </w:tcPr>
          <w:p>
            <w:r>
              <w:t>文件资产上传、查询与删除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/api/files/{id}/download-url</w:t>
            </w:r>
          </w:p>
        </w:tc>
        <w:tc>
          <w:tcPr>
            <w:tcW w:type="dxa" w:w="4464"/>
            <w:vAlign w:val="center"/>
          </w:tcPr>
          <w:p>
            <w:r>
              <w:t>生成临时下载地址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</w:t>
            </w:r>
          </w:p>
        </w:tc>
        <w:tc>
          <w:tcPr>
            <w:tcW w:type="dxa" w:w="4032"/>
            <w:vAlign w:val="center"/>
          </w:tcPr>
          <w:p>
            <w:r>
              <w:t>/api/alerts</w:t>
            </w:r>
          </w:p>
        </w:tc>
        <w:tc>
          <w:tcPr>
            <w:tcW w:type="dxa" w:w="4464"/>
            <w:vAlign w:val="center"/>
          </w:tcPr>
          <w:p>
            <w:r>
              <w:t>告警查询、确认、关闭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/api/users</w:t>
            </w:r>
          </w:p>
        </w:tc>
        <w:tc>
          <w:tcPr>
            <w:tcW w:type="dxa" w:w="4464"/>
            <w:vAlign w:val="center"/>
          </w:tcPr>
          <w:p>
            <w:r>
              <w:t>用户管理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GET/POST/PUT/DELETE</w:t>
            </w:r>
          </w:p>
        </w:tc>
        <w:tc>
          <w:tcPr>
            <w:tcW w:type="dxa" w:w="4032"/>
            <w:vAlign w:val="center"/>
          </w:tcPr>
          <w:p>
            <w:r>
              <w:t>/api/roles</w:t>
            </w:r>
          </w:p>
        </w:tc>
        <w:tc>
          <w:tcPr>
            <w:tcW w:type="dxa" w:w="4464"/>
            <w:vAlign w:val="center"/>
          </w:tcPr>
          <w:p>
            <w:r>
              <w:t>角色与授权管理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/api/audit-logs</w:t>
            </w:r>
          </w:p>
        </w:tc>
        <w:tc>
          <w:tcPr>
            <w:tcW w:type="dxa" w:w="4464"/>
            <w:vAlign w:val="center"/>
          </w:tcPr>
          <w:p>
            <w:r>
              <w:t>审计日志查询与导出</w:t>
            </w:r>
          </w:p>
        </w:tc>
      </w:tr>
      <w:tr>
        <w:tc>
          <w:tcPr>
            <w:tcW w:type="dxa" w:w="1872"/>
            <w:vAlign w:val="center"/>
          </w:tcPr>
          <w:p>
            <w:r>
              <w:t>GET</w:t>
            </w:r>
          </w:p>
        </w:tc>
        <w:tc>
          <w:tcPr>
            <w:tcW w:type="dxa" w:w="4032"/>
            <w:vAlign w:val="center"/>
          </w:tcPr>
          <w:p>
            <w:r>
              <w:t>/api/ops/health</w:t>
            </w:r>
          </w:p>
        </w:tc>
        <w:tc>
          <w:tcPr>
            <w:tcW w:type="dxa" w:w="4464"/>
            <w:vAlign w:val="center"/>
          </w:tcPr>
          <w:p>
            <w:r>
              <w:t>运维健康检查</w:t>
            </w:r>
          </w:p>
        </w:tc>
      </w:tr>
    </w:tbl>
    <w:p/>
    <w:p>
      <w:pPr>
        <w:pStyle w:val="Heading1"/>
      </w:pPr>
      <w:r>
        <w:t>8. 前端开发计划</w:t>
      </w:r>
    </w:p>
    <w:p>
      <w:pPr>
        <w:pStyle w:val="ListBullet"/>
      </w:pPr>
      <w:r>
        <w:t>Vue 3 + TypeScript + Vite，建立页面模板、权限路由、请求封装和统一错误处理。</w:t>
      </w:r>
    </w:p>
    <w:p>
      <w:pPr>
        <w:pStyle w:val="ListBullet"/>
      </w:pPr>
      <w:r>
        <w:t>后台设计采用 Swiss 风格：白色/浅灰底、清晰网格、蓝色强调、紧凑信息层级。</w:t>
      </w:r>
    </w:p>
    <w:p>
      <w:pPr>
        <w:pStyle w:val="ListBullet"/>
      </w:pPr>
      <w:r>
        <w:t>核心页面包括看板、数据源、接入任务、DAG 编排、任务实例、质量报告、文件资产、告警、审计。</w:t>
      </w:r>
    </w:p>
    <w:p>
      <w:pPr>
        <w:pStyle w:val="ListBullet"/>
      </w:pPr>
      <w:r>
        <w:t>体验标准包括可见标签、键盘可达、加载反馈、就近错误提示、防重复提交和移动端适配。</w:t>
      </w:r>
    </w:p>
    <w:p>
      <w:pPr>
        <w:pStyle w:val="Heading1"/>
      </w:pPr>
      <w:r>
        <w:t>9. 后端开发计划</w:t>
      </w:r>
    </w:p>
    <w:p>
      <w:pPr>
        <w:pStyle w:val="ListBullet"/>
      </w:pPr>
      <w:r>
        <w:t>Spring Boot 3 + Java 21，按 controller、application、domain、repository、adapter 分层。</w:t>
      </w:r>
    </w:p>
    <w:p>
      <w:pPr>
        <w:pStyle w:val="ListBullet"/>
      </w:pPr>
      <w:r>
        <w:t>Spring Security + JWT 做认证授权；Flyway 做数据库迁移；Redis 做缓存、幂等和分布式锁。</w:t>
      </w:r>
    </w:p>
    <w:p>
      <w:pPr>
        <w:pStyle w:val="ListBullet"/>
      </w:pPr>
      <w:r>
        <w:t>MinIO 存储文件资产、任务日志、质量报告、导出文件，下载使用短期有效签名地址。</w:t>
      </w:r>
    </w:p>
    <w:p>
      <w:pPr>
        <w:pStyle w:val="ListBullet"/>
      </w:pPr>
      <w:r>
        <w:t>调度与处理引擎通过适配器隔离，首期支持 Spring Batch/Quartz，后续扩展 Spark/Flink。</w:t>
      </w:r>
    </w:p>
    <w:p>
      <w:pPr>
        <w:pStyle w:val="Heading1"/>
      </w:pPr>
      <w:r>
        <w:t>10.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测试类型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通过标准</w:t>
            </w:r>
          </w:p>
        </w:tc>
      </w:tr>
      <w:tr>
        <w:tc>
          <w:tcPr>
            <w:tcW w:type="dxa" w:w="2160"/>
            <w:vAlign w:val="center"/>
          </w:tcPr>
          <w:p>
            <w:r>
              <w:t>单元测试</w:t>
            </w:r>
          </w:p>
        </w:tc>
        <w:tc>
          <w:tcPr>
            <w:tcW w:type="dxa" w:w="5328"/>
            <w:vAlign w:val="center"/>
          </w:tcPr>
          <w:p>
            <w:r>
              <w:t>领域服务、权限、质量规则、参数校验</w:t>
            </w:r>
          </w:p>
        </w:tc>
        <w:tc>
          <w:tcPr>
            <w:tcW w:type="dxa" w:w="2880"/>
            <w:vAlign w:val="center"/>
          </w:tcPr>
          <w:p>
            <w:r>
              <w:t>核心逻辑覆盖率不低于 70%</w:t>
            </w:r>
          </w:p>
        </w:tc>
      </w:tr>
      <w:tr>
        <w:tc>
          <w:tcPr>
            <w:tcW w:type="dxa" w:w="2160"/>
            <w:vAlign w:val="center"/>
          </w:tcPr>
          <w:p>
            <w:r>
              <w:t>接口测试</w:t>
            </w:r>
          </w:p>
        </w:tc>
        <w:tc>
          <w:tcPr>
            <w:tcW w:type="dxa" w:w="5328"/>
            <w:vAlign w:val="center"/>
          </w:tcPr>
          <w:p>
            <w:r>
              <w:t>认证、CRUD、任务触发、文件、告警、审计</w:t>
            </w:r>
          </w:p>
        </w:tc>
        <w:tc>
          <w:tcPr>
            <w:tcW w:type="dxa" w:w="2880"/>
            <w:vAlign w:val="center"/>
          </w:tcPr>
          <w:p>
            <w:r>
              <w:t>主流程接口 100% 覆盖</w:t>
            </w:r>
          </w:p>
        </w:tc>
      </w:tr>
      <w:tr>
        <w:tc>
          <w:tcPr>
            <w:tcW w:type="dxa" w:w="2160"/>
            <w:vAlign w:val="center"/>
          </w:tcPr>
          <w:p>
            <w:r>
              <w:t>前端测试</w:t>
            </w:r>
          </w:p>
        </w:tc>
        <w:tc>
          <w:tcPr>
            <w:tcW w:type="dxa" w:w="5328"/>
            <w:vAlign w:val="center"/>
          </w:tcPr>
          <w:p>
            <w:r>
              <w:t>表单、路由权限、看板、关键交互</w:t>
            </w:r>
          </w:p>
        </w:tc>
        <w:tc>
          <w:tcPr>
            <w:tcW w:type="dxa" w:w="2880"/>
            <w:vAlign w:val="center"/>
          </w:tcPr>
          <w:p>
            <w:r>
              <w:t>关键页面无阻断缺陷</w:t>
            </w:r>
          </w:p>
        </w:tc>
      </w:tr>
      <w:tr>
        <w:tc>
          <w:tcPr>
            <w:tcW w:type="dxa" w:w="2160"/>
            <w:vAlign w:val="center"/>
          </w:tcPr>
          <w:p>
            <w:r>
              <w:t>集成测试</w:t>
            </w:r>
          </w:p>
        </w:tc>
        <w:tc>
          <w:tcPr>
            <w:tcW w:type="dxa" w:w="5328"/>
            <w:vAlign w:val="center"/>
          </w:tcPr>
          <w:p>
            <w:r>
              <w:t>PostgreSQL、Redis、MinIO、调度、异步任务</w:t>
            </w:r>
          </w:p>
        </w:tc>
        <w:tc>
          <w:tcPr>
            <w:tcW w:type="dxa" w:w="2880"/>
            <w:vAlign w:val="center"/>
          </w:tcPr>
          <w:p>
            <w:r>
              <w:t>全链路运行稳定</w:t>
            </w:r>
          </w:p>
        </w:tc>
      </w:tr>
      <w:tr>
        <w:tc>
          <w:tcPr>
            <w:tcW w:type="dxa" w:w="2160"/>
            <w:vAlign w:val="center"/>
          </w:tcPr>
          <w:p>
            <w:r>
              <w:t>验收测试</w:t>
            </w:r>
          </w:p>
        </w:tc>
        <w:tc>
          <w:tcPr>
            <w:tcW w:type="dxa" w:w="5328"/>
            <w:vAlign w:val="center"/>
          </w:tcPr>
          <w:p>
            <w:r>
              <w:t>端到端业务场景</w:t>
            </w:r>
          </w:p>
        </w:tc>
        <w:tc>
          <w:tcPr>
            <w:tcW w:type="dxa" w:w="2880"/>
            <w:vAlign w:val="center"/>
          </w:tcPr>
          <w:p>
            <w:r>
              <w:t>P0/P1 缺陷为 0</w:t>
            </w:r>
          </w:p>
        </w:tc>
      </w:tr>
    </w:tbl>
    <w:p/>
    <w:p>
      <w:pPr>
        <w:pStyle w:val="Heading1"/>
      </w:pPr>
      <w:r>
        <w:t>11. 部署计划</w:t>
      </w:r>
    </w:p>
    <w:p>
      <w:pPr>
        <w:pStyle w:val="ListBullet"/>
      </w:pPr>
      <w:r>
        <w:t>开发环境使用 Docker Compose，本地一键启动前端、后端、PostgreSQL、Redis、MinIO、Nginx。</w:t>
      </w:r>
    </w:p>
    <w:p>
      <w:pPr>
        <w:pStyle w:val="ListBullet"/>
      </w:pPr>
      <w:r>
        <w:t>测试环境接入 CI/CD，完成镜像构建、自动测试、依赖扫描和自动部署。</w:t>
      </w:r>
    </w:p>
    <w:p>
      <w:pPr>
        <w:pStyle w:val="ListBullet"/>
      </w:pPr>
      <w:r>
        <w:t>生产环境容器化部署，Nginx 负责 TLS、反向代理、静态资源、压缩和限流。</w:t>
      </w:r>
    </w:p>
    <w:p>
      <w:pPr>
        <w:pStyle w:val="ListBullet"/>
      </w:pPr>
      <w:r>
        <w:t>提供数据库备份、MinIO 备份、配置回滚、灰度发布和健康检查机制。</w:t>
      </w:r>
    </w:p>
    <w:p>
      <w:pPr>
        <w:pStyle w:val="Heading1"/>
      </w:pPr>
      <w:r>
        <w:t>12. 验收标准</w:t>
      </w:r>
    </w:p>
    <w:p>
      <w:pPr>
        <w:pStyle w:val="ListBullet"/>
      </w:pPr>
      <w:r>
        <w:t>核心模块可演示并完成用户验收签字。</w:t>
      </w:r>
    </w:p>
    <w:p>
      <w:pPr>
        <w:pStyle w:val="ListBullet"/>
      </w:pPr>
      <w:r>
        <w:t>P0/P1 缺陷为 0，P2 缺陷有明确关闭计划。</w:t>
      </w:r>
    </w:p>
    <w:p>
      <w:pPr>
        <w:pStyle w:val="ListBullet"/>
      </w:pPr>
      <w:r>
        <w:t>安全、性能、可用性、运维交付满足验收阈值。</w:t>
      </w:r>
    </w:p>
    <w:p>
      <w:pPr>
        <w:pStyle w:val="ListBullet"/>
      </w:pPr>
      <w:r>
        <w:t>交付需求文档、设计文档、接口清单、部署手册、测试报告和验收报告。</w:t>
      </w:r>
    </w:p>
    <w:p>
      <w:pPr>
        <w:pStyle w:val="Heading1"/>
      </w:pPr>
      <w:r>
        <w:t>13.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里程碑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周期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</w:tr>
      <w:tr>
        <w:tc>
          <w:tcPr>
            <w:tcW w:type="dxa" w:w="2016"/>
            <w:vAlign w:val="center"/>
          </w:tcPr>
          <w:p>
            <w:r>
              <w:t>M0 立项准备</w:t>
            </w:r>
          </w:p>
        </w:tc>
        <w:tc>
          <w:tcPr>
            <w:tcW w:type="dxa" w:w="1440"/>
            <w:vAlign w:val="center"/>
          </w:tcPr>
          <w:p>
            <w:r>
              <w:t>第 1 周</w:t>
            </w:r>
          </w:p>
        </w:tc>
        <w:tc>
          <w:tcPr>
            <w:tcW w:type="dxa" w:w="6912"/>
            <w:vAlign w:val="center"/>
          </w:tcPr>
          <w:p>
            <w:r>
              <w:t>需求确认、范围冻结、原型方向、技术选型、环境准备</w:t>
            </w:r>
          </w:p>
        </w:tc>
      </w:tr>
      <w:tr>
        <w:tc>
          <w:tcPr>
            <w:tcW w:type="dxa" w:w="2016"/>
            <w:vAlign w:val="center"/>
          </w:tcPr>
          <w:p>
            <w:r>
              <w:t>M1 基础平台</w:t>
            </w:r>
          </w:p>
        </w:tc>
        <w:tc>
          <w:tcPr>
            <w:tcW w:type="dxa" w:w="1440"/>
            <w:vAlign w:val="center"/>
          </w:tcPr>
          <w:p>
            <w:r>
              <w:t>第 2-3 周</w:t>
            </w:r>
          </w:p>
        </w:tc>
        <w:tc>
          <w:tcPr>
            <w:tcW w:type="dxa" w:w="6912"/>
            <w:vAlign w:val="center"/>
          </w:tcPr>
          <w:p>
            <w:r>
              <w:t>认证、权限、菜单、系统配置、项目脚手架、基础 CI</w:t>
            </w:r>
          </w:p>
        </w:tc>
      </w:tr>
      <w:tr>
        <w:tc>
          <w:tcPr>
            <w:tcW w:type="dxa" w:w="2016"/>
            <w:vAlign w:val="center"/>
          </w:tcPr>
          <w:p>
            <w:r>
              <w:t>M2 数据接入</w:t>
            </w:r>
          </w:p>
        </w:tc>
        <w:tc>
          <w:tcPr>
            <w:tcW w:type="dxa" w:w="1440"/>
            <w:vAlign w:val="center"/>
          </w:tcPr>
          <w:p>
            <w:r>
              <w:t>第 4-5 周</w:t>
            </w:r>
          </w:p>
        </w:tc>
        <w:tc>
          <w:tcPr>
            <w:tcW w:type="dxa" w:w="6912"/>
            <w:vAlign w:val="center"/>
          </w:tcPr>
          <w:p>
            <w:r>
              <w:t>数据源、接入任务、文件上传、MinIO、接入日志</w:t>
            </w:r>
          </w:p>
        </w:tc>
      </w:tr>
      <w:tr>
        <w:tc>
          <w:tcPr>
            <w:tcW w:type="dxa" w:w="2016"/>
            <w:vAlign w:val="center"/>
          </w:tcPr>
          <w:p>
            <w:r>
              <w:t>M3 调度编排</w:t>
            </w:r>
          </w:p>
        </w:tc>
        <w:tc>
          <w:tcPr>
            <w:tcW w:type="dxa" w:w="1440"/>
            <w:vAlign w:val="center"/>
          </w:tcPr>
          <w:p>
            <w:r>
              <w:t>第 6-8 周</w:t>
            </w:r>
          </w:p>
        </w:tc>
        <w:tc>
          <w:tcPr>
            <w:tcW w:type="dxa" w:w="6912"/>
            <w:vAlign w:val="center"/>
          </w:tcPr>
          <w:p>
            <w:r>
              <w:t>DAG 编排、调度策略、实例运行、日志、重跑/终止</w:t>
            </w:r>
          </w:p>
        </w:tc>
      </w:tr>
      <w:tr>
        <w:tc>
          <w:tcPr>
            <w:tcW w:type="dxa" w:w="2016"/>
            <w:vAlign w:val="center"/>
          </w:tcPr>
          <w:p>
            <w:r>
              <w:t>M4 质量与告警</w:t>
            </w:r>
          </w:p>
        </w:tc>
        <w:tc>
          <w:tcPr>
            <w:tcW w:type="dxa" w:w="1440"/>
            <w:vAlign w:val="center"/>
          </w:tcPr>
          <w:p>
            <w:r>
              <w:t>第 9-10 周</w:t>
            </w:r>
          </w:p>
        </w:tc>
        <w:tc>
          <w:tcPr>
            <w:tcW w:type="dxa" w:w="6912"/>
            <w:vAlign w:val="center"/>
          </w:tcPr>
          <w:p>
            <w:r>
              <w:t>质量规则、检测报告、告警中心、通知订阅</w:t>
            </w:r>
          </w:p>
        </w:tc>
      </w:tr>
      <w:tr>
        <w:tc>
          <w:tcPr>
            <w:tcW w:type="dxa" w:w="2016"/>
            <w:vAlign w:val="center"/>
          </w:tcPr>
          <w:p>
            <w:r>
              <w:t>M5 运维与审计</w:t>
            </w:r>
          </w:p>
        </w:tc>
        <w:tc>
          <w:tcPr>
            <w:tcW w:type="dxa" w:w="1440"/>
            <w:vAlign w:val="center"/>
          </w:tcPr>
          <w:p>
            <w:r>
              <w:t>第 11 周</w:t>
            </w:r>
          </w:p>
        </w:tc>
        <w:tc>
          <w:tcPr>
            <w:tcW w:type="dxa" w:w="6912"/>
            <w:vAlign w:val="center"/>
          </w:tcPr>
          <w:p>
            <w:r>
              <w:t>系统监控、审计日志、导出、权限复核</w:t>
            </w:r>
          </w:p>
        </w:tc>
      </w:tr>
      <w:tr>
        <w:tc>
          <w:tcPr>
            <w:tcW w:type="dxa" w:w="2016"/>
            <w:vAlign w:val="center"/>
          </w:tcPr>
          <w:p>
            <w:r>
              <w:t>M6 联调验收</w:t>
            </w:r>
          </w:p>
        </w:tc>
        <w:tc>
          <w:tcPr>
            <w:tcW w:type="dxa" w:w="1440"/>
            <w:vAlign w:val="center"/>
          </w:tcPr>
          <w:p>
            <w:r>
              <w:t>第 12 周</w:t>
            </w:r>
          </w:p>
        </w:tc>
        <w:tc>
          <w:tcPr>
            <w:tcW w:type="dxa" w:w="6912"/>
            <w:vAlign w:val="center"/>
          </w:tcPr>
          <w:p>
            <w:r>
              <w:t>全链路联调、性能压测、安全检查、用户验收与交付</w:t>
            </w:r>
          </w:p>
        </w:tc>
      </w:tr>
    </w:tbl>
    <w:p/>
    <w:p>
      <w:pPr>
        <w:pStyle w:val="Heading1"/>
      </w:pPr>
      <w:r>
        <w:t>14. 人员分工建议</w:t>
      </w:r>
    </w:p>
    <w:p>
      <w:pPr>
        <w:pStyle w:val="ListBullet"/>
      </w:pPr>
      <w:r>
        <w:t>项目经理 1 人：排期、风险、验收和跨团队协调。</w:t>
      </w:r>
    </w:p>
    <w:p>
      <w:pPr>
        <w:pStyle w:val="ListBullet"/>
      </w:pPr>
      <w:r>
        <w:t>产品经理 1 人：需求、原型、验收用例和培训材料。</w:t>
      </w:r>
    </w:p>
    <w:p>
      <w:pPr>
        <w:pStyle w:val="ListBullet"/>
      </w:pPr>
      <w:r>
        <w:t>前端工程师 2 人：后台页面、组件体系、DAG 画布和看板。</w:t>
      </w:r>
    </w:p>
    <w:p>
      <w:pPr>
        <w:pStyle w:val="ListBullet"/>
      </w:pPr>
      <w:r>
        <w:t>后端工程师 3 人：权限、接入、调度、质量、文件、审计。</w:t>
      </w:r>
    </w:p>
    <w:p>
      <w:pPr>
        <w:pStyle w:val="ListBullet"/>
      </w:pPr>
      <w:r>
        <w:t>测试工程师 1-2 人：测试计划、自动化接口测试、验收测试、缺陷闭环。</w:t>
      </w:r>
    </w:p>
    <w:p>
      <w:pPr>
        <w:pStyle w:val="ListBullet"/>
      </w:pPr>
      <w:r>
        <w:t>DevOps 1 人：容器化、CI/CD、监控、备份、发布。</w:t>
      </w:r>
    </w:p>
    <w:p>
      <w:pPr>
        <w:pStyle w:val="Heading1"/>
      </w:pPr>
      <w:r>
        <w:t>15. 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应对措施</w:t>
            </w:r>
          </w:p>
        </w:tc>
      </w:tr>
      <w:tr>
        <w:tc>
          <w:tcPr>
            <w:tcW w:type="dxa" w:w="3024"/>
            <w:vAlign w:val="center"/>
          </w:tcPr>
          <w:p>
            <w:r>
              <w:t>数据源类型扩展过多</w:t>
            </w:r>
          </w:p>
        </w:tc>
        <w:tc>
          <w:tcPr>
            <w:tcW w:type="dxa" w:w="7344"/>
            <w:vAlign w:val="center"/>
          </w:tcPr>
          <w:p>
            <w:r>
              <w:t>首期限定 PostgreSQL/MySQL/文件/Kafka，其他以插件接口预留。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任务编排复杂度失控</w:t>
            </w:r>
          </w:p>
        </w:tc>
        <w:tc>
          <w:tcPr>
            <w:tcW w:type="dxa" w:w="7344"/>
            <w:vAlign w:val="center"/>
          </w:tcPr>
          <w:p>
            <w:r>
              <w:t>首期支持常见 DAG、定时、依赖和重跑，高级条件分支进入二期。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数据安全与凭据泄露</w:t>
            </w:r>
          </w:p>
        </w:tc>
        <w:tc>
          <w:tcPr>
            <w:tcW w:type="dxa" w:w="7344"/>
            <w:vAlign w:val="center"/>
          </w:tcPr>
          <w:p>
            <w:r>
              <w:t>凭据加密存储、最小权限、审计留痕、下载链接短期有效。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性能瓶颈</w:t>
            </w:r>
          </w:p>
        </w:tc>
        <w:tc>
          <w:tcPr>
            <w:tcW w:type="dxa" w:w="7344"/>
            <w:vAlign w:val="center"/>
          </w:tcPr>
          <w:p>
            <w:r>
              <w:t>任务执行异步化、实例分页、日志落对象存储、慢查询监控和压测基线。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验收口径不清</w:t>
            </w:r>
          </w:p>
        </w:tc>
        <w:tc>
          <w:tcPr>
            <w:tcW w:type="dxa" w:w="7344"/>
            <w:vAlign w:val="center"/>
          </w:tcPr>
          <w:p>
            <w:r>
              <w:t>每个模块定义可演示场景、验收数据、通过阈值和缺陷关闭规则。</w:t>
            </w:r>
          </w:p>
        </w:tc>
      </w:tr>
      <w:tr>
        <w:tc>
          <w:tcPr>
            <w:tcW w:type="dxa" w:w="3024"/>
            <w:vAlign w:val="center"/>
          </w:tcPr>
          <w:p>
            <w:r>
              <w:t>跨团队协作延迟</w:t>
            </w:r>
          </w:p>
        </w:tc>
        <w:tc>
          <w:tcPr>
            <w:tcW w:type="dxa" w:w="7344"/>
            <w:vAlign w:val="center"/>
          </w:tcPr>
          <w:p>
            <w:r>
              <w:t>里程碑评审、接口契约冻结、每日阻塞同步、变更走评审单。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