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合成软件采购合同（仅供演示，非真实交易）</w:t>
      </w:r>
    </w:p>
    <w:p>
      <w:r>
        <w:t>合同编号：SYN-2026-001</w:t>
      </w:r>
    </w:p>
    <w:p>
      <w:r>
        <w:t>送审部门：采购部；申请人：张三</w:t>
      </w:r>
    </w:p>
    <w:p>
      <w:r>
        <w:t>采购方：甲方演示科技有限公司；供应商：乙方演示软件有限公司</w:t>
      </w:r>
    </w:p>
    <w:p>
      <w:r>
        <w:t>采购金额：人民币100000元；履行期限：2026年10月1日至2026年12月31日</w:t>
      </w:r>
    </w:p>
    <w:p>
      <w:r>
        <w:t>标的：乙方向甲方交付软件系统及相关文档。</w:t>
      </w:r>
    </w:p>
    <w:p>
      <w:r>
        <w:t>付款：甲方在交付成果经双方按约定标准验收合格后分期支付合同价款。</w:t>
      </w:r>
    </w:p>
    <w:p>
      <w:r>
        <w:t>验收：双方按功能清单逐项测试并签署验收记录；未通过项目整改后复验。</w:t>
      </w:r>
    </w:p>
    <w:p>
      <w:r>
        <w:t>知识产权：交付软件及相关成果的知识产权归乙方所有，甲方享有满足项目目的的持续使用授权。</w:t>
      </w:r>
    </w:p>
    <w:p>
      <w:r>
        <w:t>违约：违约事项由双方另行协商。</w:t>
      </w:r>
    </w:p>
    <w:p>
      <w:r>
        <w:t>保密：双方对履约中知悉的非公开信息保密。</w:t>
      </w:r>
    </w:p>
    <w:p>
      <w:r>
        <w:t>争议解决：双方协商不成时向有管辖权的人民法院起诉。</w:t>
      </w:r>
    </w:p>
    <w:sectPr/>
  </w:body>
</w:document>
</file>