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240" w:after="240"/>
        <w:jc w:val="center"/>
      </w:pPr>
      <w:r>
        <w:rPr>
          <w:rFonts w:ascii="Arial" w:hAnsi="Arial"/>
          <w:b/>
          <w:color w:val="1F4E79"/>
          <w:sz w:val="52"/>
        </w:rPr>
        <w:t>INFORME TÉCNICO:</w:t>
        <w:br/>
        <w:t>PROCESO UNIFICADO ÁGIL (AUP)</w:t>
      </w:r>
    </w:p>
    <w:tbl>
      <w:tblPr>
        <w:tblW w:type="auto" w:w="0"/>
        <w:tblLayout w:type="fixed"/>
        <w:tblLook w:firstColumn="1" w:firstRow="1" w:lastColumn="0" w:lastRow="0" w:noHBand="0" w:noVBand="1" w:val="04A0"/>
      </w:tblPr>
      <w:tblGrid>
        <w:gridCol w:w="9360"/>
      </w:tblGrid>
      <w:tr>
        <w:trPr>
          <w:trHeight w:val="60" w:hRule="exact"/>
        </w:trPr>
        <w:tc>
          <w:tcPr>
            <w:tcW w:type="dxa" w:w="9360"/>
            <w:shd w:fill="1F4E79" w:val="clear"/>
            <w:tcBorders>
              <w:top w:val="none"/>
              <w:left w:val="none"/>
              <w:bottom w:val="none"/>
              <w:right w:val="none"/>
            </w:tcBorders>
          </w:tcPr>
          <w:p>
            <w:pPr>
              <w:spacing w:before="0" w:after="0" w:line="20" w:lineRule="exact"/>
            </w:pPr>
          </w:p>
        </w:tc>
      </w:tr>
    </w:tbl>
    <w:p>
      <w:pPr>
        <w:spacing w:before="240" w:after="960"/>
        <w:jc w:val="center"/>
      </w:pPr>
      <w:r>
        <w:rPr>
          <w:rFonts w:ascii="Arial" w:hAnsi="Arial"/>
          <w:color w:val="595959"/>
          <w:sz w:val="26"/>
        </w:rPr>
        <w:t>Estudio de su filosofía híbrida, fases de desarrollo,</w:t>
        <w:br/>
        <w:t>flujos de trabajo y principios metodológicos</w:t>
      </w:r>
    </w:p>
    <w:p/>
    <w:p/>
    <w:p/>
    <w:p/>
    <w:p/>
    <w:p/>
    <w:p>
      <w:pPr>
        <w:spacing w:line="312" w:lineRule="auto"/>
        <w:jc w:val="center"/>
      </w:pPr>
      <w:r>
        <w:rPr>
          <w:b/>
          <w:color w:val="595959"/>
          <w:sz w:val="20"/>
        </w:rPr>
        <w:t>PREPARADO POR:</w:t>
        <w:br/>
      </w:r>
      <w:r>
        <w:rPr>
          <w:b/>
          <w:color w:val="1F4E79"/>
          <w:sz w:val="22"/>
        </w:rPr>
        <w:t>Yeferson Enrique Pazo Paternina</w:t>
        <w:br/>
        <w:t>Victor David Ospino Iglesia</w:t>
        <w:br/>
        <w:br/>
      </w:r>
      <w:r>
        <w:rPr>
          <w:b/>
          <w:color w:val="595959"/>
          <w:sz w:val="20"/>
        </w:rPr>
        <w:t xml:space="preserve">ASIGNATURA: </w:t>
      </w:r>
      <w:r>
        <w:rPr>
          <w:color w:val="262626"/>
          <w:sz w:val="20"/>
        </w:rPr>
        <w:t>Ingeniería de Software I</w:t>
        <w:br/>
      </w:r>
      <w:r>
        <w:rPr>
          <w:b/>
          <w:color w:val="595959"/>
          <w:sz w:val="20"/>
        </w:rPr>
        <w:t xml:space="preserve">DOCENTES: </w:t>
      </w:r>
      <w:r>
        <w:rPr>
          <w:color w:val="262626"/>
          <w:sz w:val="20"/>
        </w:rPr>
        <w:t>Patricia Isbel Álvarez Ortega, John Jairo Patiño Vanegas</w:t>
        <w:br/>
      </w:r>
      <w:r>
        <w:rPr>
          <w:b/>
          <w:color w:val="595959"/>
          <w:sz w:val="20"/>
        </w:rPr>
        <w:t xml:space="preserve">INSTITUCIÓN: </w:t>
      </w:r>
      <w:r>
        <w:rPr>
          <w:color w:val="262626"/>
          <w:sz w:val="20"/>
        </w:rPr>
        <w:t>Universidad Popular del Cesar</w:t>
        <w:br/>
      </w:r>
      <w:r>
        <w:rPr>
          <w:b/>
          <w:color w:val="595959"/>
          <w:sz w:val="20"/>
        </w:rPr>
        <w:t xml:space="preserve">FECHA: </w:t>
      </w:r>
      <w:r>
        <w:rPr>
          <w:color w:val="262626"/>
          <w:sz w:val="20"/>
        </w:rPr>
        <w:t>Septiembre 2026</w:t>
      </w:r>
    </w:p>
    <w:p>
      <w:pPr>
        <w:sectPr>
          <w:pgSz w:w="12240" w:h="15840"/>
          <w:pgMar w:top="1440" w:right="1440" w:bottom="1440" w:left="1440" w:header="720" w:footer="720" w:gutter="0"/>
          <w:cols w:space="720"/>
          <w:docGrid w:linePitch="360"/>
        </w:sectPr>
      </w:pPr>
    </w:p>
    <w:p>
      <w:pPr>
        <w:pStyle w:val="Heading1"/>
        <w:keepNext/>
        <w:spacing w:before="400" w:after="160"/>
      </w:pPr>
      <w:r>
        <w:rPr>
          <w:rFonts w:ascii="Arial" w:hAnsi="Arial"/>
          <w:b/>
          <w:color w:val="1F4E79"/>
          <w:sz w:val="32"/>
        </w:rPr>
        <w:t>Tabla de Contenidos</w:t>
      </w:r>
    </w:p>
    <w:p>
      <w:pPr>
        <w:spacing w:before="0" w:after="240" w:line="276" w:lineRule="auto"/>
        <w:jc w:val="left"/>
      </w:pPr>
      <w:r>
        <w:rPr>
          <w:rFonts w:ascii="Arial" w:hAnsi="Arial"/>
          <w:b w:val="0"/>
          <w:i/>
          <w:color w:val="262626"/>
          <w:sz w:val="22"/>
        </w:rPr>
        <w:t>El siguiente índice de contenidos se actualizará dinámicamente al abrir el documento en un procesador de texto compatible, como Microsoft Word o Google Docs.</w:t>
      </w:r>
    </w:p>
    <w:p>
      <w:pPr>
        <w:spacing w:after="480"/>
      </w:pPr>
      <w:r>
        <w:fldChar w:fldCharType="begin"/>
        <w:instrText xml:space="preserve">TOC \o "1-3" \h \z \u</w:instrText>
        <w:fldChar w:fldCharType="end"/>
      </w:r>
    </w:p>
    <w:p>
      <w:r>
        <w:br w:type="page"/>
      </w:r>
    </w:p>
    <w:p>
      <w:pPr>
        <w:pStyle w:val="Heading1"/>
        <w:keepNext/>
        <w:spacing w:before="400" w:after="160"/>
      </w:pPr>
      <w:r>
        <w:rPr>
          <w:rFonts w:ascii="Arial" w:hAnsi="Arial"/>
          <w:b/>
          <w:color w:val="1F4E79"/>
          <w:sz w:val="32"/>
        </w:rPr>
        <w:t>1. Introducción y Contextualización de la Metodología</w:t>
      </w:r>
    </w:p>
    <w:p>
      <w:pPr>
        <w:spacing w:before="0" w:after="120" w:line="276" w:lineRule="auto"/>
        <w:jc w:val="left"/>
      </w:pPr>
      <w:r>
        <w:rPr>
          <w:rFonts w:ascii="Arial" w:hAnsi="Arial"/>
          <w:b w:val="0"/>
          <w:i w:val="0"/>
          <w:color w:val="262626"/>
          <w:sz w:val="22"/>
        </w:rPr>
        <w:t>Durante décadas, el desarrollo de sistemas de software se sustentó firmemente en modelos secuenciales rígidos (como el clásico ciclo de vida en cascada formalizado originalmente por Royce en 1970). Estos enfoques tradicionales exigían la definición completa, exhaustiva e invariable de los requisitos antes de proceder con el diseño técnico o la codificación de la primera línea de código. No obstante, la experiencia práctica e histórica en la industria demostró reiteradamente que, en la gran mayoría de los proyectos reales, los requisitos mutan y evolucionan mientras el producto se encuentra en fase de construcción.</w:t>
      </w:r>
    </w:p>
    <w:p>
      <w:pPr>
        <w:spacing w:before="0" w:after="120" w:line="276" w:lineRule="auto"/>
        <w:jc w:val="left"/>
      </w:pPr>
      <w:r>
        <w:rPr>
          <w:rFonts w:ascii="Arial" w:hAnsi="Arial"/>
          <w:b w:val="0"/>
          <w:i w:val="0"/>
          <w:color w:val="262626"/>
          <w:sz w:val="22"/>
        </w:rPr>
        <w:t>De esta insatisfacción generalizada con la rigidez de los modelos tradicionales nacieron las metodologías ágiles, las cuales fueron formalizadas colectivamente en el Manifiesto Ágil (Beck et al., 2001a). Esta filosofía de desarrollo propone un conjunto integrado de valores, principios y prácticas cuyo fin principal es la entrega de software funcional de manera temprana y continua, manteniendo al cliente como un colaborador activo y constante durante todo el proceso de desarrollo.</w:t>
      </w:r>
    </w:p>
    <w:p>
      <w:pPr>
        <w:spacing w:before="0" w:after="120" w:line="276" w:lineRule="auto"/>
        <w:jc w:val="left"/>
      </w:pPr>
      <w:r>
        <w:rPr>
          <w:rFonts w:ascii="Arial" w:hAnsi="Arial"/>
          <w:b w:val="0"/>
          <w:i w:val="0"/>
          <w:color w:val="262626"/>
          <w:sz w:val="22"/>
        </w:rPr>
        <w:t>En este contexto de evolución metodológica, Scott Ambler formuló en 2005 el Proceso Unificado Ágil (AUP). Esta metodología nace como una adaptación simplificada y ágil del tradicional Proceso Unificado de Software (Rational Unified Process o RUP), buscando conservar la robustez arquitectónica y la planificación del proceso clásico pero incorporando la agilidad de los enfoques modernos.</w:t>
      </w:r>
    </w:p>
    <w:tbl>
      <w:tblPr>
        <w:tblW w:type="auto" w:w="0"/>
        <w:tblLayout w:type="fixed"/>
        <w:tblLook w:firstColumn="1" w:firstRow="1" w:lastColumn="0" w:lastRow="0" w:noHBand="0" w:noVBand="1" w:val="04A0"/>
      </w:tblPr>
      <w:tblGrid>
        <w:gridCol w:w="9360"/>
      </w:tblGrid>
      <w:tr>
        <w:tc>
          <w:tcPr>
            <w:tcW w:type="dxa" w:w="9360"/>
            <w:shd w:fill="F2F4F8" w:val="clear"/>
            <w:tcBorders>
              <w:left w:val="single" w:sz="24" w:space="0" w:color="1F4E79"/>
              <w:top w:val="none"/>
              <w:bottom w:val="none"/>
              <w:right w:val="none"/>
            </w:tcBorders>
          </w:tcPr>
          <w:p>
            <w:pPr>
              <w:spacing w:before="160" w:after="160" w:line="276" w:lineRule="auto"/>
              <w:ind w:left="216" w:right="216"/>
            </w:pPr>
            <w:r>
              <w:rPr>
                <w:rFonts w:ascii="Arial" w:hAnsi="Arial"/>
                <w:b/>
                <w:color w:val="1F4E79"/>
                <w:sz w:val="22"/>
              </w:rPr>
              <w:t>Fundamento de Agilidad</w:t>
              <w:br/>
            </w:r>
            <w:r>
              <w:rPr>
                <w:rFonts w:ascii="Arial" w:hAnsi="Arial"/>
                <w:i/>
                <w:color w:val="595959"/>
                <w:sz w:val="20"/>
              </w:rPr>
              <w:t>"El desarrollo ágil combina una filosofía con un conjunto de lineamientos de desarrollo. Dicha filosofía pone el énfasis en la satisfacción del cliente y en la entrega rápida de software incremental, en equipos pequeños y motivados, en métodos informales, en productos de trabajo con mínima ingeniería de software y en la sencillez del desarrollo." (Beck et al., 2001a / Pressman, 2010)</w:t>
            </w:r>
          </w:p>
        </w:tc>
      </w:tr>
    </w:tbl>
    <w:p>
      <w:pPr>
        <w:pStyle w:val="Heading1"/>
        <w:keepNext/>
        <w:spacing w:before="400" w:after="160"/>
      </w:pPr>
      <w:r>
        <w:rPr>
          <w:rFonts w:ascii="Arial" w:hAnsi="Arial"/>
          <w:b/>
          <w:color w:val="1F4E79"/>
          <w:sz w:val="32"/>
        </w:rPr>
        <w:t>2. Filosofía del AUP: Serie para lo Grande e Iterativo para lo Pequeño</w:t>
      </w:r>
    </w:p>
    <w:p>
      <w:pPr>
        <w:spacing w:before="0" w:after="120" w:line="276" w:lineRule="auto"/>
        <w:jc w:val="left"/>
      </w:pPr>
      <w:r>
        <w:rPr>
          <w:rFonts w:ascii="Arial" w:hAnsi="Arial"/>
          <w:b w:val="0"/>
          <w:i w:val="0"/>
          <w:color w:val="262626"/>
          <w:sz w:val="22"/>
        </w:rPr>
        <w:t>De acuerdo con Pressman (2010), el Proceso Unificado Ágil (AUP) adopta una filosofía metodológica singular y estructurada bajo el lema "en serie para lo grande" e "iterativo para lo pequeño" para la construcción de sistemas de software basados en computadora.</w:t>
      </w:r>
    </w:p>
    <w:p>
      <w:pPr>
        <w:pStyle w:val="Heading2"/>
        <w:keepNext/>
        <w:spacing w:before="280" w:after="120"/>
      </w:pPr>
      <w:r>
        <w:rPr>
          <w:rFonts w:ascii="Arial" w:hAnsi="Arial"/>
          <w:b/>
          <w:color w:val="595959"/>
          <w:sz w:val="26"/>
        </w:rPr>
        <w:t>La Filosofía "En Serie para lo Grande"</w:t>
      </w:r>
    </w:p>
    <w:p>
      <w:pPr>
        <w:spacing w:before="0" w:after="120" w:line="276" w:lineRule="auto"/>
        <w:jc w:val="left"/>
      </w:pPr>
      <w:r>
        <w:rPr>
          <w:rFonts w:ascii="Arial" w:hAnsi="Arial"/>
          <w:b w:val="0"/>
          <w:i w:val="0"/>
          <w:color w:val="262626"/>
          <w:sz w:val="22"/>
        </w:rPr>
        <w:t>El componente "en serie" del proceso se logra mediante la adopción de las cuatro fases clásicas y estructuradas del Proceso Unificado tradicional: concepción, elaboración, construcción y transición. El AUP brinda, a través de estas fases, un revestimiento en serie que se manifiesta como una secuencia lineal de actividades macro de ingeniería de software. Este marco estructurado permite al equipo técnico, de gestión y a los interesados externos visualizar el flujo general del proceso de un proyecto de software y realizar una planificación de alto nivel sobre los plazos, recursos y metas del proyecto.</w:t>
      </w:r>
    </w:p>
    <w:p>
      <w:pPr>
        <w:pStyle w:val="Heading2"/>
        <w:keepNext/>
        <w:spacing w:before="280" w:after="120"/>
      </w:pPr>
      <w:r>
        <w:rPr>
          <w:rFonts w:ascii="Arial" w:hAnsi="Arial"/>
          <w:b/>
          <w:color w:val="595959"/>
          <w:sz w:val="26"/>
        </w:rPr>
        <w:t>La Filosofía "Iterativa para lo Pequeño"</w:t>
      </w:r>
    </w:p>
    <w:p>
      <w:pPr>
        <w:spacing w:before="0" w:after="120" w:line="276" w:lineRule="auto"/>
        <w:jc w:val="left"/>
      </w:pPr>
      <w:r>
        <w:rPr>
          <w:rFonts w:ascii="Arial" w:hAnsi="Arial"/>
          <w:b w:val="0"/>
          <w:i w:val="0"/>
          <w:color w:val="262626"/>
          <w:sz w:val="22"/>
        </w:rPr>
        <w:t>Por otro lado, la dimensión "iterativa para lo pequeño" se desarrolla directamente en el interior de cada una de las cuatro actividades principales o fases. El equipo de desarrollo no ejecuta las tareas internas de manera lineal; por el contrario, repite cíclicamente las actividades operativas con el objeto explícito de alcanzar la agilidad metodológica. Esta micro-iteración continua tiene como meta entregar incrementos funcionales de software significativos a los usuarios finales con la mayor rapidez y frecuencia posibles.</w:t>
      </w:r>
    </w:p>
    <w:p>
      <w:pPr>
        <w:spacing w:before="0" w:after="120" w:line="276" w:lineRule="auto"/>
        <w:jc w:val="left"/>
      </w:pPr>
      <w:r>
        <w:rPr>
          <w:rFonts w:ascii="Arial" w:hAnsi="Arial"/>
          <w:b w:val="0"/>
          <w:i w:val="0"/>
          <w:color w:val="262626"/>
          <w:sz w:val="22"/>
        </w:rPr>
        <w:t>Esta estructura híbrida y balanceada resulta idónea para entornos de proyectos específicos donde coexisten restricciones de planificación lineal con requerimientos de flexibilidad técnica. Es la opción metodológica por excelencia cuando la organización necesita ver el plan de desarrollo del proyecto completo antes de comprometer recursos económicos o humanos significativos, pero desea mantener un desarrollo ágil y adaptativo a nivel de código.</w:t>
      </w:r>
    </w:p>
    <w:p>
      <w:pPr>
        <w:pStyle w:val="Heading1"/>
        <w:keepNext/>
        <w:spacing w:before="400" w:after="160"/>
      </w:pPr>
      <w:r>
        <w:rPr>
          <w:rFonts w:ascii="Arial" w:hAnsi="Arial"/>
          <w:b/>
          <w:color w:val="1F4E79"/>
          <w:sz w:val="32"/>
        </w:rPr>
        <w:t>3. Las Cuatro Fases Clásicas del Proceso Unificado</w:t>
      </w:r>
    </w:p>
    <w:p>
      <w:pPr>
        <w:spacing w:before="0" w:after="120" w:line="276" w:lineRule="auto"/>
        <w:jc w:val="left"/>
      </w:pPr>
      <w:r>
        <w:rPr>
          <w:rFonts w:ascii="Arial" w:hAnsi="Arial"/>
          <w:b w:val="0"/>
          <w:i w:val="0"/>
          <w:color w:val="262626"/>
          <w:sz w:val="22"/>
        </w:rPr>
        <w:t>El AUP hereda y conserva las cuatro fases macro de la estructura secuencial del Proceso Unificado de software. Cada fase representa un estado de madurez diferente dentro del ciclo de vida del proyecto:</w:t>
      </w:r>
    </w:p>
    <w:p>
      <w:pPr>
        <w:spacing w:before="0" w:after="80" w:line="276" w:lineRule="auto"/>
        <w:ind w:left="360"/>
      </w:pPr>
      <w:r>
        <w:rPr>
          <w:rFonts w:ascii="Arial" w:hAnsi="Arial"/>
          <w:b/>
          <w:color w:val="1F4E79"/>
          <w:sz w:val="22"/>
        </w:rPr>
        <w:t xml:space="preserve">1. </w:t>
      </w:r>
      <w:r>
        <w:rPr>
          <w:rFonts w:ascii="Arial" w:hAnsi="Arial"/>
          <w:b/>
          <w:color w:val="262626"/>
          <w:sz w:val="22"/>
        </w:rPr>
        <w:t>Concepción (Inception):</w:t>
      </w:r>
      <w:r>
        <w:rPr>
          <w:rFonts w:ascii="Arial" w:hAnsi="Arial"/>
          <w:color w:val="262626"/>
          <w:sz w:val="22"/>
        </w:rPr>
        <w:t>Esta fase inicial se centra en definir el alcance global del sistema, identificar a los principales interesados y determinar la viabilidad general del proyecto. Se esboza la solución conceptual inicial y se establecen los límites del sistema.</w:t>
      </w:r>
    </w:p>
    <w:p>
      <w:pPr>
        <w:spacing w:before="0" w:after="80" w:line="276" w:lineRule="auto"/>
        <w:ind w:left="360"/>
      </w:pPr>
      <w:r>
        <w:rPr>
          <w:rFonts w:ascii="Arial" w:hAnsi="Arial"/>
          <w:b/>
          <w:color w:val="1F4E79"/>
          <w:sz w:val="22"/>
        </w:rPr>
        <w:t xml:space="preserve">2. </w:t>
      </w:r>
      <w:r>
        <w:rPr>
          <w:rFonts w:ascii="Arial" w:hAnsi="Arial"/>
          <w:b/>
          <w:color w:val="262626"/>
          <w:sz w:val="22"/>
        </w:rPr>
        <w:t>Elaboración (Elaboration):</w:t>
      </w:r>
      <w:r>
        <w:rPr>
          <w:rFonts w:ascii="Arial" w:hAnsi="Arial"/>
          <w:color w:val="262626"/>
          <w:sz w:val="22"/>
        </w:rPr>
        <w:t>El objetivo principal es definir y validar la arquitectura base del software y mitigar los riesgos técnicos de mayor impacto. En esta etapa, se detallan los requisitos de negocio críticos y se demuestra la viabilidad técnica de la solución propuesta.</w:t>
      </w:r>
    </w:p>
    <w:p>
      <w:pPr>
        <w:spacing w:before="0" w:after="80" w:line="276" w:lineRule="auto"/>
        <w:ind w:left="360"/>
      </w:pPr>
      <w:r>
        <w:rPr>
          <w:rFonts w:ascii="Arial" w:hAnsi="Arial"/>
          <w:b/>
          <w:color w:val="1F4E79"/>
          <w:sz w:val="22"/>
        </w:rPr>
        <w:t xml:space="preserve">3. </w:t>
      </w:r>
      <w:r>
        <w:rPr>
          <w:rFonts w:ascii="Arial" w:hAnsi="Arial"/>
          <w:b/>
          <w:color w:val="262626"/>
          <w:sz w:val="22"/>
        </w:rPr>
        <w:t>Construcción (Construction):</w:t>
      </w:r>
      <w:r>
        <w:rPr>
          <w:rFonts w:ascii="Arial" w:hAnsi="Arial"/>
          <w:color w:val="262626"/>
          <w:sz w:val="22"/>
        </w:rPr>
        <w:t>Es la fase de mayor densidad de desarrollo técnico, donde se realiza la codificación, integración y pruebas del sistema. El software se construye de manera iterativa e incremental a través del desarrollo de código ejecutable a partir de los modelos previos.</w:t>
      </w:r>
    </w:p>
    <w:p>
      <w:pPr>
        <w:spacing w:before="0" w:after="80" w:line="276" w:lineRule="auto"/>
        <w:ind w:left="360"/>
      </w:pPr>
      <w:r>
        <w:rPr>
          <w:rFonts w:ascii="Arial" w:hAnsi="Arial"/>
          <w:b/>
          <w:color w:val="1F4E79"/>
          <w:sz w:val="22"/>
        </w:rPr>
        <w:t xml:space="preserve">4. </w:t>
      </w:r>
      <w:r>
        <w:rPr>
          <w:rFonts w:ascii="Arial" w:hAnsi="Arial"/>
          <w:b/>
          <w:color w:val="262626"/>
          <w:sz w:val="22"/>
        </w:rPr>
        <w:t>Transición (Transition):</w:t>
      </w:r>
      <w:r>
        <w:rPr>
          <w:rFonts w:ascii="Arial" w:hAnsi="Arial"/>
          <w:color w:val="262626"/>
          <w:sz w:val="22"/>
        </w:rPr>
        <w:t>La fase final se orienta a planear y ejecutar el despliegue del sistema terminado. Esto incluye las actividades de pruebas finales con usuarios de aceptación, migración de datos, documentación técnica, capacitación de usuarios finales y la puesta en producción.</w:t>
      </w:r>
    </w:p>
    <w:p>
      <w:pPr>
        <w:pStyle w:val="Heading1"/>
        <w:keepNext/>
        <w:spacing w:before="400" w:after="160"/>
      </w:pPr>
      <w:r>
        <w:rPr>
          <w:rFonts w:ascii="Arial" w:hAnsi="Arial"/>
          <w:b/>
          <w:color w:val="1F4E79"/>
          <w:sz w:val="32"/>
        </w:rPr>
        <w:t>4. Los Siete Flujos de Trabajo del AUP</w:t>
      </w:r>
    </w:p>
    <w:p>
      <w:pPr>
        <w:spacing w:before="0" w:after="120" w:line="276" w:lineRule="auto"/>
        <w:jc w:val="left"/>
      </w:pPr>
      <w:r>
        <w:rPr>
          <w:rFonts w:ascii="Arial" w:hAnsi="Arial"/>
          <w:b w:val="0"/>
          <w:i w:val="0"/>
          <w:color w:val="262626"/>
          <w:sz w:val="22"/>
        </w:rPr>
        <w:t>Para organizar y sistematizar las actividades que se ejecutan dentro de cada una de las fases descritas, el AUP se compone formalmente de siete flujos de trabajo clave. Estos flujos están divididos estructuralmente en cuatro ingenieriles (operativos y técnicos) y tres flujos de apoyo o de soporte organizacional (Ambler, 2005):</w:t>
      </w:r>
    </w:p>
    <w:p>
      <w:pPr>
        <w:pStyle w:val="Heading2"/>
        <w:keepNext/>
        <w:spacing w:before="280" w:after="120"/>
      </w:pPr>
      <w:r>
        <w:rPr>
          <w:rFonts w:ascii="Arial" w:hAnsi="Arial"/>
          <w:b/>
          <w:color w:val="595959"/>
          <w:sz w:val="26"/>
        </w:rPr>
        <w:t>Flujos de Trabajo Ingenieriles</w:t>
      </w:r>
    </w:p>
    <w:p>
      <w:pPr>
        <w:spacing w:before="0" w:after="120" w:line="276" w:lineRule="auto"/>
        <w:jc w:val="left"/>
      </w:pPr>
      <w:r>
        <w:rPr>
          <w:rFonts w:ascii="Arial" w:hAnsi="Arial"/>
          <w:b w:val="0"/>
          <w:i w:val="0"/>
          <w:color w:val="262626"/>
          <w:sz w:val="22"/>
        </w:rPr>
        <w:t>Corresponden a las actividades técnicas requeridas directamente para diseñar, construir y desplegar el sistema de software:</w:t>
      </w:r>
    </w:p>
    <w:p>
      <w:pPr>
        <w:pStyle w:val="ListBullet"/>
        <w:spacing w:before="0" w:after="80" w:line="276" w:lineRule="auto"/>
      </w:pPr>
      <w:r>
        <w:rPr>
          <w:rFonts w:ascii="Arial" w:hAnsi="Arial"/>
          <w:b/>
          <w:color w:val="262626"/>
          <w:sz w:val="22"/>
        </w:rPr>
        <w:t xml:space="preserve">Modelado (Modeling): </w:t>
      </w:r>
      <w:r>
        <w:rPr>
          <w:rFonts w:ascii="Arial" w:hAnsi="Arial"/>
          <w:color w:val="262626"/>
          <w:sz w:val="22"/>
        </w:rPr>
        <w:t>Flujo de trabajo cuyo objetivo fundamental es lograr el entendimiento profundo del negocio de la organización y comprender el problema de dominio específico abordado en el proyecto. Su meta operativa es determinar una solución arquitectónica y funcional viable para resolverlo de forma robusta.</w:t>
      </w:r>
    </w:p>
    <w:p>
      <w:pPr>
        <w:pStyle w:val="ListBullet"/>
        <w:spacing w:before="0" w:after="80" w:line="276" w:lineRule="auto"/>
      </w:pPr>
      <w:r>
        <w:rPr>
          <w:rFonts w:ascii="Arial" w:hAnsi="Arial"/>
          <w:b/>
          <w:color w:val="262626"/>
          <w:sz w:val="22"/>
        </w:rPr>
        <w:t xml:space="preserve">Implementación (Implementation): </w:t>
      </w:r>
      <w:r>
        <w:rPr>
          <w:rFonts w:ascii="Arial" w:hAnsi="Arial"/>
          <w:color w:val="262626"/>
          <w:sz w:val="22"/>
        </w:rPr>
        <w:t>Tiene como objetivo directo transformar los modelos de diseño abstractos en código fuente ejecutable. Asimismo, en este flujo se ejecutan los niveles básicos de pruebas técnicas de verificación, en particular las pruebas de nivel unitario.</w:t>
      </w:r>
    </w:p>
    <w:p>
      <w:pPr>
        <w:pStyle w:val="ListBullet"/>
        <w:spacing w:before="0" w:after="80" w:line="276" w:lineRule="auto"/>
      </w:pPr>
      <w:r>
        <w:rPr>
          <w:rFonts w:ascii="Arial" w:hAnsi="Arial"/>
          <w:b/>
          <w:color w:val="262626"/>
          <w:sz w:val="22"/>
        </w:rPr>
        <w:t xml:space="preserve">Prueba (Testing): </w:t>
      </w:r>
      <w:r>
        <w:rPr>
          <w:rFonts w:ascii="Arial" w:hAnsi="Arial"/>
          <w:color w:val="262626"/>
          <w:sz w:val="22"/>
        </w:rPr>
        <w:t>Su objetivo primordial es realizar una evaluación técnica y objetiva del software para garantizar la calidad del producto entregable. Esto abarca la búsqueda sistemática de defectos, la validación de que el sistema funcione en condiciones operativas según lo establecido y la verificación del estricto cumplimiento de todos los requerimientos funcionales y no funcionales.</w:t>
      </w:r>
    </w:p>
    <w:p>
      <w:pPr>
        <w:pStyle w:val="ListBullet"/>
        <w:spacing w:before="0" w:after="80" w:line="276" w:lineRule="auto"/>
      </w:pPr>
      <w:r>
        <w:rPr>
          <w:rFonts w:ascii="Arial" w:hAnsi="Arial"/>
          <w:b/>
          <w:color w:val="262626"/>
          <w:sz w:val="22"/>
        </w:rPr>
        <w:t xml:space="preserve">Despliegue (Deployment): </w:t>
      </w:r>
      <w:r>
        <w:rPr>
          <w:rFonts w:ascii="Arial" w:hAnsi="Arial"/>
          <w:color w:val="262626"/>
          <w:sz w:val="22"/>
        </w:rPr>
        <w:t>Tiene como objetivo planificar minuciosamente la prestación o distribución del sistema, así como ejecutar dicho plan, de manera que el software final quede completamente operativo y a disposición directa de los usuarios finales.</w:t>
      </w:r>
    </w:p>
    <w:p>
      <w:pPr>
        <w:pStyle w:val="Heading2"/>
        <w:keepNext/>
        <w:spacing w:before="280" w:after="120"/>
      </w:pPr>
      <w:r>
        <w:rPr>
          <w:rFonts w:ascii="Arial" w:hAnsi="Arial"/>
          <w:b/>
          <w:color w:val="595959"/>
          <w:sz w:val="26"/>
        </w:rPr>
        <w:t>Flujos de Trabajo de Apoyo (Soporte)</w:t>
      </w:r>
    </w:p>
    <w:p>
      <w:pPr>
        <w:spacing w:before="0" w:after="120" w:line="276" w:lineRule="auto"/>
        <w:jc w:val="left"/>
      </w:pPr>
      <w:r>
        <w:rPr>
          <w:rFonts w:ascii="Arial" w:hAnsi="Arial"/>
          <w:b w:val="0"/>
          <w:i w:val="0"/>
          <w:color w:val="262626"/>
          <w:sz w:val="22"/>
        </w:rPr>
        <w:t>Son aquellos que aseguran la correcta gestión, viabilidad, infraestructura y control del proyecto de desarrollo:</w:t>
      </w:r>
    </w:p>
    <w:p>
      <w:pPr>
        <w:pStyle w:val="ListBullet"/>
        <w:spacing w:before="0" w:after="80" w:line="276" w:lineRule="auto"/>
      </w:pPr>
      <w:r>
        <w:rPr>
          <w:rFonts w:ascii="Arial" w:hAnsi="Arial"/>
          <w:b/>
          <w:color w:val="262626"/>
          <w:sz w:val="22"/>
        </w:rPr>
        <w:t xml:space="preserve">Gestión de Configuración (Configuration Management): </w:t>
      </w:r>
      <w:r>
        <w:rPr>
          <w:rFonts w:ascii="Arial" w:hAnsi="Arial"/>
          <w:color w:val="262626"/>
          <w:sz w:val="22"/>
        </w:rPr>
        <w:t>Este flujo de soporte abarca la administración de los cambios técnicos solicitados, la gestión integrada de los riesgos del proyecto y el control riguroso de los productos de trabajo persistentes (código fuente, documentos, configuraciones) que genera el equipo de desarrollo.</w:t>
      </w:r>
    </w:p>
    <w:p>
      <w:pPr>
        <w:pStyle w:val="ListBullet"/>
        <w:spacing w:before="0" w:after="80" w:line="276" w:lineRule="auto"/>
      </w:pPr>
      <w:r>
        <w:rPr>
          <w:rFonts w:ascii="Arial" w:hAnsi="Arial"/>
          <w:b/>
          <w:color w:val="262626"/>
          <w:sz w:val="22"/>
        </w:rPr>
        <w:t xml:space="preserve">Gestión de Proyectos (Project Management): </w:t>
      </w:r>
      <w:r>
        <w:rPr>
          <w:rFonts w:ascii="Arial" w:hAnsi="Arial"/>
          <w:color w:val="262626"/>
          <w:sz w:val="22"/>
        </w:rPr>
        <w:t>Encargado de realizar el seguimiento estrecho y el control del avance de los entregables del equipo, coordinar las actividades de desarrollo diarias, gestionar los cronogramas de iteración y mantener la alineación del proyecto con los objetivos de negocio.</w:t>
      </w:r>
    </w:p>
    <w:p>
      <w:pPr>
        <w:pStyle w:val="ListBullet"/>
        <w:spacing w:before="0" w:after="80" w:line="276" w:lineRule="auto"/>
      </w:pPr>
      <w:r>
        <w:rPr>
          <w:rFonts w:ascii="Arial" w:hAnsi="Arial"/>
          <w:b/>
          <w:color w:val="262626"/>
          <w:sz w:val="22"/>
        </w:rPr>
        <w:t xml:space="preserve">Ambiente (Environment): </w:t>
      </w:r>
      <w:r>
        <w:rPr>
          <w:rFonts w:ascii="Arial" w:hAnsi="Arial"/>
          <w:color w:val="262626"/>
          <w:sz w:val="22"/>
        </w:rPr>
        <w:t>Coordina y administra la infraestructura de procesos necesaria para el equipo de trabajo. Esto incluye el establecimiento de estándares técnicos, la selección, instalación y configuración de las herramientas de desarrollo y demás tecnologías de apoyo de las que dispone el equipo.</w:t>
      </w:r>
    </w:p>
    <w:p>
      <w:pPr>
        <w:pStyle w:val="Heading1"/>
        <w:keepNext/>
        <w:spacing w:before="400" w:after="160"/>
      </w:pPr>
      <w:r>
        <w:rPr>
          <w:rFonts w:ascii="Arial" w:hAnsi="Arial"/>
          <w:b/>
          <w:color w:val="1F4E79"/>
          <w:sz w:val="32"/>
        </w:rPr>
        <w:t>5. Principios Fundamentales del Proceso Unificado Ágil</w:t>
      </w:r>
    </w:p>
    <w:p>
      <w:pPr>
        <w:spacing w:before="0" w:after="120" w:line="276" w:lineRule="auto"/>
        <w:jc w:val="left"/>
      </w:pPr>
      <w:r>
        <w:rPr>
          <w:rFonts w:ascii="Arial" w:hAnsi="Arial"/>
          <w:b w:val="0"/>
          <w:i w:val="0"/>
          <w:color w:val="262626"/>
          <w:sz w:val="22"/>
        </w:rPr>
        <w:t>El éxito de la implantación del AUP en un equipo de ingeniería de software reside en el apego estricto a cuatro principios rectores que rigen el comportamiento técnico y metodológico del equipo:</w:t>
      </w:r>
    </w:p>
    <w:p>
      <w:pPr>
        <w:pStyle w:val="ListBullet"/>
        <w:spacing w:before="0" w:after="80" w:line="276" w:lineRule="auto"/>
      </w:pPr>
      <w:r>
        <w:rPr>
          <w:rFonts w:ascii="Arial" w:hAnsi="Arial"/>
          <w:b/>
          <w:color w:val="262626"/>
          <w:sz w:val="22"/>
        </w:rPr>
        <w:t xml:space="preserve">Simplicidad: </w:t>
      </w:r>
      <w:r>
        <w:rPr>
          <w:rFonts w:ascii="Arial" w:hAnsi="Arial"/>
          <w:color w:val="262626"/>
          <w:sz w:val="22"/>
        </w:rPr>
        <w:t>Este principio define que todo el trabajo, las metodologías y la documentación generada deben describirse de la manera más concisa posible. Se aboga por el uso de poca documentación física o digital, priorizando el contenido directo y de alta utilidad sobre los reportes extensos y burocráticos.</w:t>
      </w:r>
    </w:p>
    <w:p>
      <w:pPr>
        <w:pStyle w:val="ListBullet"/>
        <w:spacing w:before="0" w:after="80" w:line="276" w:lineRule="auto"/>
      </w:pPr>
      <w:r>
        <w:rPr>
          <w:rFonts w:ascii="Arial" w:hAnsi="Arial"/>
          <w:b/>
          <w:color w:val="262626"/>
          <w:sz w:val="22"/>
        </w:rPr>
        <w:t xml:space="preserve">Agilidad: </w:t>
      </w:r>
      <w:r>
        <w:rPr>
          <w:rFonts w:ascii="Arial" w:hAnsi="Arial"/>
          <w:color w:val="262626"/>
          <w:sz w:val="22"/>
        </w:rPr>
        <w:t>AUP promueve el ajuste constante a los valores y principios establecidos por la Alianza Ágil y su manifiesto del año 2001, tales como la prioridad del software funcionando por encima de la documentación exhaustiva y la respuesta ágil ante los cambios por encima del seguimiento de un plan rígido.</w:t>
      </w:r>
    </w:p>
    <w:p>
      <w:pPr>
        <w:pStyle w:val="ListBullet"/>
        <w:spacing w:before="0" w:after="80" w:line="276" w:lineRule="auto"/>
      </w:pPr>
      <w:r>
        <w:rPr>
          <w:rFonts w:ascii="Arial" w:hAnsi="Arial"/>
          <w:b/>
          <w:color w:val="262626"/>
          <w:sz w:val="22"/>
        </w:rPr>
        <w:t xml:space="preserve">Centrarse en actividades de alto valor: </w:t>
      </w:r>
      <w:r>
        <w:rPr>
          <w:rFonts w:ascii="Arial" w:hAnsi="Arial"/>
          <w:color w:val="262626"/>
          <w:sz w:val="22"/>
        </w:rPr>
        <w:t>La atención técnica y operativa del equipo de desarrollo se centra exclusivamente en aquellas actividades y tareas que en realidad lo requieren y aportan un valor tangible e inmediato al negocio, evitando el desperdicio de esfuerzo en procesos secundarios o en la totalidad exhaustiva del proyecto sin priorización.</w:t>
      </w:r>
    </w:p>
    <w:p>
      <w:pPr>
        <w:pStyle w:val="ListBullet"/>
        <w:spacing w:before="0" w:after="80" w:line="276" w:lineRule="auto"/>
      </w:pPr>
      <w:r>
        <w:rPr>
          <w:rFonts w:ascii="Arial" w:hAnsi="Arial"/>
          <w:b/>
          <w:color w:val="262626"/>
          <w:sz w:val="22"/>
        </w:rPr>
        <w:t xml:space="preserve">Independencia de herramientas: </w:t>
      </w:r>
      <w:r>
        <w:rPr>
          <w:rFonts w:ascii="Arial" w:hAnsi="Arial"/>
          <w:color w:val="262626"/>
          <w:sz w:val="22"/>
        </w:rPr>
        <w:t>El proceso no obliga ni se vincula al uso de una suite o conjunto específico de herramientas de software de ingeniería. Se sugiere utilizar las herramientas que resulten más adecuadas para el trabajo específico, sugiriéndose de manera recurrente el uso de herramientas simples o incluso tecnologías de código abierto.</w:t>
      </w:r>
    </w:p>
    <w:p>
      <w:pPr>
        <w:pStyle w:val="Heading1"/>
        <w:keepNext/>
        <w:spacing w:before="400" w:after="160"/>
      </w:pPr>
      <w:r>
        <w:rPr>
          <w:rFonts w:ascii="Arial" w:hAnsi="Arial"/>
          <w:b/>
          <w:color w:val="1F4E79"/>
          <w:sz w:val="32"/>
        </w:rPr>
        <w:t>6. Análisis y Síntesis Comparativa: AUP, XP y Scrum</w:t>
      </w:r>
    </w:p>
    <w:p>
      <w:pPr>
        <w:spacing w:before="0" w:after="120" w:line="276" w:lineRule="auto"/>
        <w:jc w:val="left"/>
      </w:pPr>
      <w:r>
        <w:rPr>
          <w:rFonts w:ascii="Arial" w:hAnsi="Arial"/>
          <w:b w:val="0"/>
          <w:i w:val="0"/>
          <w:color w:val="262626"/>
          <w:sz w:val="22"/>
        </w:rPr>
        <w:t>Para comprender el lugar estratégico que ocupa el Proceso Unificado Ágil dentro de la ingeniería de software moderna, es necesario contrastarlo con otros dos marcos de trabajo ágiles altamente consolidados: la Programación Extrema (XP) y Scrum. Aunque los tres enfoques comparten la base fundamental del Manifiesto Ágil, no son marcos sustituibles ni idénticos, pues cada uno está diseñado para mitigar diferentes fuentes de incertidumbre y riesgo en un proyecto.</w:t>
      </w:r>
    </w:p>
    <w:tbl>
      <w:tblPr>
        <w:tblStyle w:val="TableGrid"/>
        <w:tblW w:type="auto" w:w="0"/>
        <w:tblLayout w:type="fixed"/>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340"/>
        <w:gridCol w:w="2340"/>
        <w:gridCol w:w="2340"/>
        <w:gridCol w:w="2340"/>
      </w:tblGrid>
      <w:tr>
        <w:tc>
          <w:tcPr>
            <w:tcW w:type="dxa" w:w="1728"/>
            <w:shd w:fill="1F4E79" w:val="clear"/>
          </w:tcPr>
          <w:p>
            <w:pPr>
              <w:spacing w:before="120" w:after="120"/>
              <w:jc w:val="center"/>
            </w:pPr>
            <w:r>
              <w:rPr>
                <w:rFonts w:ascii="Arial" w:hAnsi="Arial"/>
                <w:b/>
                <w:color w:val="FFFFFF"/>
                <w:sz w:val="20"/>
              </w:rPr>
              <w:t>Criterio</w:t>
            </w:r>
          </w:p>
        </w:tc>
        <w:tc>
          <w:tcPr>
            <w:tcW w:type="dxa" w:w="2448"/>
            <w:shd w:fill="1F4E79" w:val="clear"/>
          </w:tcPr>
          <w:p>
            <w:pPr>
              <w:spacing w:before="120" w:after="120"/>
              <w:jc w:val="center"/>
            </w:pPr>
            <w:r>
              <w:rPr>
                <w:rFonts w:ascii="Arial" w:hAnsi="Arial"/>
                <w:b/>
                <w:color w:val="FFFFFF"/>
                <w:sz w:val="20"/>
              </w:rPr>
              <w:t>XP (eXtreme Programming)</w:t>
            </w:r>
          </w:p>
        </w:tc>
        <w:tc>
          <w:tcPr>
            <w:tcW w:type="dxa" w:w="2592"/>
            <w:shd w:fill="1F4E79" w:val="clear"/>
          </w:tcPr>
          <w:p>
            <w:pPr>
              <w:spacing w:before="120" w:after="120"/>
              <w:jc w:val="center"/>
            </w:pPr>
            <w:r>
              <w:rPr>
                <w:rFonts w:ascii="Arial" w:hAnsi="Arial"/>
                <w:b/>
                <w:color w:val="FFFFFF"/>
                <w:sz w:val="20"/>
              </w:rPr>
              <w:t>AUP (Agile Unified Process)</w:t>
            </w:r>
          </w:p>
        </w:tc>
        <w:tc>
          <w:tcPr>
            <w:tcW w:type="dxa" w:w="2592"/>
            <w:shd w:fill="1F4E79" w:val="clear"/>
          </w:tcPr>
          <w:p>
            <w:pPr>
              <w:spacing w:before="120" w:after="120"/>
              <w:jc w:val="center"/>
            </w:pPr>
            <w:r>
              <w:rPr>
                <w:rFonts w:ascii="Arial" w:hAnsi="Arial"/>
                <w:b/>
                <w:color w:val="FFFFFF"/>
                <w:sz w:val="20"/>
              </w:rPr>
              <w:t>Scrum</w:t>
            </w:r>
          </w:p>
        </w:tc>
      </w:tr>
      <w:tr>
        <w:tc>
          <w:tcPr>
            <w:tcW w:type="dxa" w:w="1728"/>
          </w:tcPr>
          <w:p>
            <w:pPr>
              <w:spacing w:before="120" w:after="120" w:line="276" w:lineRule="auto"/>
              <w:jc w:val="left"/>
            </w:pPr>
            <w:r>
              <w:rPr>
                <w:rFonts w:ascii="Arial" w:hAnsi="Arial"/>
                <w:b/>
                <w:color w:val="262626"/>
                <w:sz w:val="19"/>
              </w:rPr>
              <w:t>Foco principal</w:t>
            </w:r>
          </w:p>
        </w:tc>
        <w:tc>
          <w:tcPr>
            <w:tcW w:type="dxa" w:w="2448"/>
          </w:tcPr>
          <w:p>
            <w:pPr>
              <w:spacing w:before="120" w:after="120" w:line="276" w:lineRule="auto"/>
              <w:jc w:val="left"/>
            </w:pPr>
            <w:r>
              <w:rPr>
                <w:rFonts w:ascii="Arial" w:hAnsi="Arial"/>
                <w:b w:val="0"/>
                <w:color w:val="262626"/>
                <w:sz w:val="19"/>
              </w:rPr>
              <w:t>Calidad técnica del código y prácticas de programación.</w:t>
            </w:r>
          </w:p>
        </w:tc>
        <w:tc>
          <w:tcPr>
            <w:tcW w:type="dxa" w:w="2592"/>
          </w:tcPr>
          <w:p>
            <w:pPr>
              <w:spacing w:before="120" w:after="120" w:line="276" w:lineRule="auto"/>
              <w:jc w:val="left"/>
            </w:pPr>
            <w:r>
              <w:rPr>
                <w:rFonts w:ascii="Arial" w:hAnsi="Arial"/>
                <w:b w:val="0"/>
                <w:color w:val="262626"/>
                <w:sz w:val="19"/>
              </w:rPr>
              <w:t>Disciplina de proceso con agilidad interna en el ciclo de vida.</w:t>
            </w:r>
          </w:p>
        </w:tc>
        <w:tc>
          <w:tcPr>
            <w:tcW w:type="dxa" w:w="2592"/>
          </w:tcPr>
          <w:p>
            <w:pPr>
              <w:spacing w:before="120" w:after="120" w:line="276" w:lineRule="auto"/>
              <w:jc w:val="left"/>
            </w:pPr>
            <w:r>
              <w:rPr>
                <w:rFonts w:ascii="Arial" w:hAnsi="Arial"/>
                <w:b w:val="0"/>
                <w:color w:val="262626"/>
                <w:sz w:val="19"/>
              </w:rPr>
              <w:t>Gestión del flujo de valor del producto y autoorganización del equipo.</w:t>
            </w:r>
          </w:p>
        </w:tc>
      </w:tr>
      <w:tr>
        <w:tc>
          <w:tcPr>
            <w:tcW w:type="dxa" w:w="1728"/>
            <w:shd w:fill="F2F4F8" w:val="clear"/>
          </w:tcPr>
          <w:p>
            <w:pPr>
              <w:spacing w:before="120" w:after="120" w:line="276" w:lineRule="auto"/>
              <w:jc w:val="left"/>
            </w:pPr>
            <w:r>
              <w:rPr>
                <w:rFonts w:ascii="Arial" w:hAnsi="Arial"/>
                <w:b/>
                <w:color w:val="262626"/>
                <w:sz w:val="19"/>
              </w:rPr>
              <w:t>Estructura y Equipo</w:t>
            </w:r>
          </w:p>
        </w:tc>
        <w:tc>
          <w:tcPr>
            <w:tcW w:type="dxa" w:w="2448"/>
            <w:shd w:fill="F2F4F8" w:val="clear"/>
          </w:tcPr>
          <w:p>
            <w:pPr>
              <w:spacing w:before="120" w:after="120" w:line="276" w:lineRule="auto"/>
              <w:jc w:val="left"/>
            </w:pPr>
            <w:r>
              <w:rPr>
                <w:rFonts w:ascii="Arial" w:hAnsi="Arial"/>
                <w:b w:val="0"/>
                <w:color w:val="262626"/>
                <w:sz w:val="19"/>
              </w:rPr>
              <w:t>Equipos pequeños (2 a 10 integrantes), con programación por parejas y cliente presente permanentemente.</w:t>
            </w:r>
          </w:p>
        </w:tc>
        <w:tc>
          <w:tcPr>
            <w:tcW w:type="dxa" w:w="2592"/>
            <w:shd w:fill="F2F4F8" w:val="clear"/>
          </w:tcPr>
          <w:p>
            <w:pPr>
              <w:spacing w:before="120" w:after="120" w:line="276" w:lineRule="auto"/>
              <w:jc w:val="left"/>
            </w:pPr>
            <w:r>
              <w:rPr>
                <w:rFonts w:ascii="Arial" w:hAnsi="Arial"/>
                <w:b w:val="0"/>
                <w:color w:val="262626"/>
                <w:sz w:val="19"/>
              </w:rPr>
              <w:t>Equipos de tamaño medio. Admite estructura formal por fases e interlocución con el cliente por fase/iteración.</w:t>
            </w:r>
          </w:p>
        </w:tc>
        <w:tc>
          <w:tcPr>
            <w:tcW w:type="dxa" w:w="2592"/>
            <w:shd w:fill="F2F4F8" w:val="clear"/>
          </w:tcPr>
          <w:p>
            <w:pPr>
              <w:spacing w:before="120" w:after="120" w:line="276" w:lineRule="auto"/>
              <w:jc w:val="left"/>
            </w:pPr>
            <w:r>
              <w:rPr>
                <w:rFonts w:ascii="Arial" w:hAnsi="Arial"/>
                <w:b w:val="0"/>
                <w:color w:val="262626"/>
                <w:sz w:val="19"/>
              </w:rPr>
              <w:t>Scrum Team de 5 a 11 personas (3 a 9 desarrolladores). El cliente es representado por el Product Owner.</w:t>
            </w:r>
          </w:p>
        </w:tc>
      </w:tr>
      <w:tr>
        <w:tc>
          <w:tcPr>
            <w:tcW w:type="dxa" w:w="1728"/>
          </w:tcPr>
          <w:p>
            <w:pPr>
              <w:spacing w:before="120" w:after="120" w:line="276" w:lineRule="auto"/>
              <w:jc w:val="left"/>
            </w:pPr>
            <w:r>
              <w:rPr>
                <w:rFonts w:ascii="Arial" w:hAnsi="Arial"/>
                <w:b/>
                <w:color w:val="262626"/>
                <w:sz w:val="19"/>
              </w:rPr>
              <w:t>Mejor Ajuste de Proyecto</w:t>
            </w:r>
          </w:p>
        </w:tc>
        <w:tc>
          <w:tcPr>
            <w:tcW w:type="dxa" w:w="2448"/>
          </w:tcPr>
          <w:p>
            <w:pPr>
              <w:spacing w:before="120" w:after="120" w:line="276" w:lineRule="auto"/>
              <w:jc w:val="left"/>
            </w:pPr>
            <w:r>
              <w:rPr>
                <w:rFonts w:ascii="Arial" w:hAnsi="Arial"/>
                <w:b w:val="0"/>
                <w:color w:val="262626"/>
                <w:sz w:val="19"/>
              </w:rPr>
              <w:t>Requisitos altamente volátiles y presencia de alta incertidumbre técnica en la programación diaria.</w:t>
            </w:r>
          </w:p>
        </w:tc>
        <w:tc>
          <w:tcPr>
            <w:tcW w:type="dxa" w:w="2592"/>
          </w:tcPr>
          <w:p>
            <w:pPr>
              <w:spacing w:before="120" w:after="120" w:line="276" w:lineRule="auto"/>
              <w:jc w:val="left"/>
            </w:pPr>
            <w:r>
              <w:rPr>
                <w:rFonts w:ascii="Arial" w:hAnsi="Arial"/>
                <w:b w:val="0"/>
                <w:color w:val="262626"/>
                <w:sz w:val="19"/>
              </w:rPr>
              <w:t>Proyectos medianos que exigen estricta trazabilidad, auditorías, visión global de fases e integración de sistemas.</w:t>
            </w:r>
          </w:p>
        </w:tc>
        <w:tc>
          <w:tcPr>
            <w:tcW w:type="dxa" w:w="2592"/>
          </w:tcPr>
          <w:p>
            <w:pPr>
              <w:spacing w:before="120" w:after="120" w:line="276" w:lineRule="auto"/>
              <w:jc w:val="left"/>
            </w:pPr>
            <w:r>
              <w:rPr>
                <w:rFonts w:ascii="Arial" w:hAnsi="Arial"/>
                <w:b w:val="0"/>
                <w:color w:val="262626"/>
                <w:sz w:val="19"/>
              </w:rPr>
              <w:t>Proyectos enfocados en la entrega incremental y continua de valor al mercado con múltiples interesados.</w:t>
            </w:r>
          </w:p>
        </w:tc>
      </w:tr>
    </w:tbl>
    <w:p>
      <w:pPr>
        <w:spacing w:before="0" w:after="240" w:line="276" w:lineRule="auto"/>
        <w:jc w:val="left"/>
      </w:pPr>
      <w:r>
        <w:rPr>
          <w:rFonts w:ascii="Arial" w:hAnsi="Arial"/>
          <w:b w:val="0"/>
          <w:i w:val="0"/>
          <w:color w:val="262626"/>
          <w:sz w:val="22"/>
        </w:rPr>
      </w:r>
    </w:p>
    <w:p>
      <w:pPr>
        <w:spacing w:before="0" w:after="120" w:line="276" w:lineRule="auto"/>
        <w:jc w:val="left"/>
      </w:pPr>
      <w:r>
        <w:rPr>
          <w:rFonts w:ascii="Arial" w:hAnsi="Arial"/>
          <w:b w:val="0"/>
          <w:i w:val="0"/>
          <w:color w:val="262626"/>
          <w:sz w:val="22"/>
        </w:rPr>
        <w:t>Como se sintetiza en la tabla anterior, la elección del marco metodológico idóneo debe responder directamente a la naturaleza de la incertidumbre dominante en el proyecto:</w:t>
      </w:r>
    </w:p>
    <w:p>
      <w:pPr>
        <w:pStyle w:val="ListBullet"/>
        <w:spacing w:before="0" w:after="80" w:line="276" w:lineRule="auto"/>
      </w:pPr>
      <w:r>
        <w:rPr>
          <w:rFonts w:ascii="Arial" w:hAnsi="Arial"/>
          <w:b/>
          <w:color w:val="262626"/>
          <w:sz w:val="22"/>
        </w:rPr>
        <w:t xml:space="preserve">Riesgo en el Código: </w:t>
      </w:r>
      <w:r>
        <w:rPr>
          <w:rFonts w:ascii="Arial" w:hAnsi="Arial"/>
          <w:color w:val="262626"/>
          <w:sz w:val="22"/>
        </w:rPr>
        <w:t>Si la incertidumbre reside en el código técnico (requisitos que cambian semanalmente, alta deuda técnica acumulada, necesidad de refactorizar de manera constante sin romper el sistema existente), las prácticas altamente técnicas de la Programación Extrema (XP) -tales como el desarrollo guiado por pruebas (TDD), la programación en parejas y la integración continua- aportan las mejores soluciones técnicas.</w:t>
      </w:r>
    </w:p>
    <w:p>
      <w:pPr>
        <w:pStyle w:val="ListBullet"/>
        <w:spacing w:before="0" w:after="80" w:line="276" w:lineRule="auto"/>
      </w:pPr>
      <w:r>
        <w:rPr>
          <w:rFonts w:ascii="Arial" w:hAnsi="Arial"/>
          <w:b/>
          <w:color w:val="262626"/>
          <w:sz w:val="22"/>
        </w:rPr>
        <w:t xml:space="preserve">Riesgo en la Coordinación: </w:t>
      </w:r>
      <w:r>
        <w:rPr>
          <w:rFonts w:ascii="Arial" w:hAnsi="Arial"/>
          <w:color w:val="262626"/>
          <w:sz w:val="22"/>
        </w:rPr>
        <w:t>Si el riesgo del proyecto se deriva principalmente de la complejidad de la coordinación de múltiples interesados externos, con prioridades de negocio en constante conflicto, Scrum ofrece la estructura de roles (Product Owner, Scrum Master, Development Team), artefactos y eventos periódicos que maximiza la transparencia y obliga a una repriorización constante.</w:t>
      </w:r>
    </w:p>
    <w:p>
      <w:pPr>
        <w:pStyle w:val="ListBullet"/>
        <w:spacing w:before="0" w:after="80" w:line="276" w:lineRule="auto"/>
      </w:pPr>
      <w:r>
        <w:rPr>
          <w:rFonts w:ascii="Arial" w:hAnsi="Arial"/>
          <w:b/>
          <w:color w:val="262626"/>
          <w:sz w:val="22"/>
        </w:rPr>
        <w:t xml:space="preserve">Riesgo en la Trazabilidad y Procesos: </w:t>
      </w:r>
      <w:r>
        <w:rPr>
          <w:rFonts w:ascii="Arial" w:hAnsi="Arial"/>
          <w:color w:val="262626"/>
          <w:sz w:val="22"/>
        </w:rPr>
        <w:t>Si el principal riesgo radica en la trazabilidad formal, auditorías de cumplimiento, un contrato de software con hitos de entrega fijos por fases de ingeniería, o la integración con complejas plataformas preexistentes, el AUP es la alternativa indicada. El AUP conserva la claridad de la secuencia formal de Concepción, Elaboración, Construcción y Transición, garantizando que la organización pueda visualizar y comprender el proyecto de forma completa antes de comprometer recursos financieros, mientras se dota de agilidad a la programación en el núcleo de las iteraciones internas.</w:t>
      </w:r>
    </w:p>
    <w:p>
      <w:pPr>
        <w:pStyle w:val="Heading1"/>
        <w:keepNext/>
        <w:spacing w:before="400" w:after="160"/>
      </w:pPr>
      <w:r>
        <w:rPr>
          <w:rFonts w:ascii="Arial" w:hAnsi="Arial"/>
          <w:b/>
          <w:color w:val="1F4E79"/>
          <w:sz w:val="32"/>
        </w:rPr>
        <w:t>7. Conclusión</w:t>
      </w:r>
    </w:p>
    <w:p>
      <w:pPr>
        <w:spacing w:before="0" w:after="120" w:line="276" w:lineRule="auto"/>
        <w:jc w:val="left"/>
      </w:pPr>
      <w:r>
        <w:rPr>
          <w:rFonts w:ascii="Arial" w:hAnsi="Arial"/>
          <w:b w:val="0"/>
          <w:i w:val="0"/>
          <w:color w:val="262626"/>
          <w:sz w:val="22"/>
        </w:rPr>
        <w:t>El Proceso Unificado Ágil (AUP) representa un balance óptimo en la ingeniería de software, demostrando que la agilidad y la estructura formal de proceso no son conceptos mutuamente excluyentes. Al proporcionar un revestimiento secuencial en serie para las decisiones de alta gerencia, planificación general y compromisos contractuales, pero delegando un proceso iterativo y flexible en los equipos técnicos, el AUP responde con éxito a entornos corporativos de alta exigencia.</w:t>
      </w:r>
    </w:p>
    <w:p>
      <w:pPr>
        <w:spacing w:before="0" w:after="120" w:line="276" w:lineRule="auto"/>
        <w:jc w:val="left"/>
      </w:pPr>
      <w:r>
        <w:rPr>
          <w:rFonts w:ascii="Arial" w:hAnsi="Arial"/>
          <w:b w:val="0"/>
          <w:i w:val="0"/>
          <w:color w:val="262626"/>
          <w:sz w:val="22"/>
        </w:rPr>
        <w:t>A través de sus siete flujos de trabajo y el estricto seguimiento de principios como la simplicidad, la agilidad y la focalización en actividades de alto valor, los equipos pueden acelerar sustancialmente los tiempos de entrega del software funcional sin sacrificar la rigurosidad ni la trazabilidad técnica, consolidándose como una herramienta metodológica de primer nivel dentro del desarrollo ágil de software.</w:t>
      </w:r>
    </w:p>
    <w:p>
      <w:pPr>
        <w:pStyle w:val="Heading1"/>
        <w:keepNext/>
        <w:spacing w:before="400" w:after="160"/>
      </w:pPr>
      <w:r>
        <w:rPr>
          <w:rFonts w:ascii="Arial" w:hAnsi="Arial"/>
          <w:b/>
          <w:color w:val="1F4E79"/>
          <w:sz w:val="32"/>
        </w:rPr>
        <w:t>8. Referencias Bibliográficas</w:t>
      </w:r>
    </w:p>
    <w:p>
      <w:pPr>
        <w:spacing w:before="0" w:after="80" w:line="276" w:lineRule="auto"/>
        <w:ind w:left="720" w:hanging="720"/>
      </w:pPr>
      <w:r>
        <w:rPr>
          <w:rFonts w:ascii="Arial" w:hAnsi="Arial"/>
          <w:color w:val="262626"/>
          <w:sz w:val="19"/>
        </w:rPr>
        <w:t>Ambler, S. W. (2005). The Agile Unified Process (AUP). Ambysoft. Recuperado de https://www.ambysoft.com/unifiedprocess/agileUP.html</w:t>
      </w:r>
    </w:p>
    <w:p>
      <w:pPr>
        <w:spacing w:before="0" w:after="80" w:line="276" w:lineRule="auto"/>
        <w:ind w:left="720" w:hanging="720"/>
      </w:pPr>
      <w:r>
        <w:rPr>
          <w:rFonts w:ascii="Arial" w:hAnsi="Arial"/>
          <w:color w:val="262626"/>
          <w:sz w:val="19"/>
        </w:rPr>
        <w:t>Beck, K., &amp; Andres, C. (2004). Extreme Programming Explained: Embrace Change (2.ª ed.). Addison-Wesley.</w:t>
      </w:r>
    </w:p>
    <w:p>
      <w:pPr>
        <w:spacing w:before="0" w:after="80" w:line="276" w:lineRule="auto"/>
        <w:ind w:left="720" w:hanging="720"/>
      </w:pPr>
      <w:r>
        <w:rPr>
          <w:rFonts w:ascii="Arial" w:hAnsi="Arial"/>
          <w:color w:val="262626"/>
          <w:sz w:val="19"/>
        </w:rPr>
        <w:t>Beck, K., Beedle, M., van Benkemum, A., Cockburn, A., Cunningham, W., Fowler, M., ... Thomas, D. (2001a). Manifiesto por el Desarrollo Ágil de Software. Recuperado de https://agilemanifesto.org/iso/es/manifesto.html</w:t>
      </w:r>
    </w:p>
    <w:p>
      <w:pPr>
        <w:spacing w:before="0" w:after="80" w:line="276" w:lineRule="auto"/>
        <w:ind w:left="720" w:hanging="720"/>
      </w:pPr>
      <w:r>
        <w:rPr>
          <w:rFonts w:ascii="Arial" w:hAnsi="Arial"/>
          <w:color w:val="262626"/>
          <w:sz w:val="19"/>
        </w:rPr>
        <w:t>Pressman, R. (2010). Ingeniería de software: un enfoque práctico (7.ª ed.). McGraw-Hill.</w:t>
      </w:r>
    </w:p>
    <w:p>
      <w:pPr>
        <w:spacing w:before="0" w:after="80" w:line="276" w:lineRule="auto"/>
        <w:ind w:left="720" w:hanging="720"/>
      </w:pPr>
      <w:r>
        <w:rPr>
          <w:rFonts w:ascii="Arial" w:hAnsi="Arial"/>
          <w:color w:val="262626"/>
          <w:sz w:val="19"/>
        </w:rPr>
        <w:t>Pressman, R. (2012). Ingeniería de software: un enfoque práctico (8.ª ed.). McGraw-Hill.</w:t>
      </w:r>
    </w:p>
    <w:p>
      <w:pPr>
        <w:spacing w:before="0" w:after="80" w:line="276" w:lineRule="auto"/>
        <w:ind w:left="720" w:hanging="720"/>
      </w:pPr>
      <w:r>
        <w:rPr>
          <w:rFonts w:ascii="Arial" w:hAnsi="Arial"/>
          <w:color w:val="262626"/>
          <w:sz w:val="19"/>
        </w:rPr>
        <w:t>Royce, W. W. (1970). Managing the development of large software systems. En Proceedings of IEEE WESCON (pp. 1-9). IEEE.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808080"/>
        <w:sz w:val="17"/>
      </w:rPr>
      <w:t>Informe Técnico: Proceso Unificado Ágil (AUP)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