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97D"/>
          <w:sz w:val="44"/>
        </w:rPr>
        <w:t>Gemini-Controlled MuJoCo Factory Robot Demo</w:t>
      </w:r>
    </w:p>
    <w:p>
      <w:pPr>
        <w:jc w:val="center"/>
      </w:pPr>
      <w:r>
        <w:rPr>
          <w:rFonts w:ascii="Arial" w:hAnsi="Arial"/>
          <w:color w:val="2E75B6"/>
          <w:sz w:val="26"/>
        </w:rPr>
        <w:t>Architecture Design Document</w:t>
      </w:r>
    </w:p>
    <w:p>
      <w:pPr>
        <w:spacing w:after="80"/>
      </w:pPr>
      <w:r>
        <w:rPr>
          <w:rFonts w:ascii="Arial" w:hAnsi="Arial"/>
          <w:sz w:val="21"/>
        </w:rPr>
        <w:t>Goal: type a natural-language instruction, let a hosted Gemini vision brain decide what to do, and execute reliable pick-and-place actions in MuJoCo.</w:t>
      </w:r>
    </w:p>
    <w:p>
      <w:pPr>
        <w:pStyle w:val="Heading1"/>
      </w:pPr>
      <w:r>
        <w:rPr>
          <w:rFonts w:ascii="Arial" w:hAnsi="Arial"/>
          <w:b/>
          <w:color w:val="1F497D"/>
          <w:sz w:val="32"/>
        </w:rPr>
        <w:t>1. Executive Summary</w:t>
      </w:r>
    </w:p>
    <w:p>
      <w:pPr>
        <w:spacing w:after="80"/>
      </w:pPr>
      <w:r>
        <w:rPr>
          <w:rFonts w:ascii="Arial" w:hAnsi="Arial"/>
          <w:sz w:val="21"/>
        </w:rPr>
        <w:t>This POC replaces YOLO training with a hosted multimodal brain. Gemini receives the camera frame, user instruction, and scene hint, then returns a validated Decision JSON. A local MuJoCo action executor performs reusable pick/place skills.</w:t>
      </w:r>
    </w:p>
    <w:p>
      <w:pPr>
        <w:spacing w:after="80"/>
      </w:pPr>
      <w:r>
        <w:rPr>
          <w:rFonts w:ascii="Arial" w:hAnsi="Arial"/>
          <w:sz w:val="21"/>
        </w:rPr>
        <w:t>The implementation runs today without robosuite by using a bundled factory-style MuJoCo scene. robosuite PickPlace remains the intended upgraded backend once a Python 3.11 environment is available.</w:t>
      </w:r>
    </w:p>
    <w:p>
      <w:pPr>
        <w:pStyle w:val="Heading1"/>
      </w:pPr>
      <w:r>
        <w:rPr>
          <w:rFonts w:ascii="Arial" w:hAnsi="Arial"/>
          <w:b/>
          <w:color w:val="1F497D"/>
          <w:sz w:val="32"/>
        </w:rPr>
        <w:t>2. Architecture</w:t>
      </w:r>
    </w:p>
    <w:p>
      <w:pPr>
        <w:ind w:left="360"/>
      </w:pPr>
      <w:r>
        <w:rPr>
          <w:rFonts w:ascii="Courier New" w:hAnsi="Courier New"/>
          <w:sz w:val="18"/>
        </w:rPr>
        <w:t>User instruction -&gt; camera frame -&gt; Gemini/mock brain -&gt; Decision JSON -&gt; action executor -&gt; MuJoCo robot motion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97D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3360"/>
            <w:shd w:fill="1F497D"/>
          </w:tcPr>
          <w:p>
            <w:r>
              <w:rPr>
                <w:b/>
                <w:color w:val="FFFFFF"/>
              </w:rPr>
              <w:t>Implementation</w:t>
            </w:r>
          </w:p>
        </w:tc>
        <w:tc>
          <w:tcPr>
            <w:tcW w:type="dxa" w:w="3360"/>
            <w:shd w:fill="1F497D"/>
          </w:tcPr>
          <w:p>
            <w:r>
              <w:rPr>
                <w:b/>
                <w:color w:val="FFFFFF"/>
              </w:rPr>
              <w:t>Responsibility</w:t>
            </w:r>
          </w:p>
        </w:tc>
      </w:tr>
      <w:tr>
        <w:tc>
          <w:tcPr>
            <w:tcW w:type="dxa" w:w="3360"/>
          </w:tcPr>
          <w:p>
            <w:r>
              <w:t>Scene</w:t>
            </w:r>
          </w:p>
        </w:tc>
        <w:tc>
          <w:tcPr>
            <w:tcW w:type="dxa" w:w="3360"/>
          </w:tcPr>
          <w:p>
            <w:r>
              <w:t>scene/gemini_factory_scene.xml</w:t>
            </w:r>
          </w:p>
        </w:tc>
        <w:tc>
          <w:tcPr>
            <w:tcW w:type="dxa" w:w="3360"/>
          </w:tcPr>
          <w:p>
            <w:r>
              <w:t>Factory table, conveyor lane, bins, colored parts, camera</w:t>
            </w:r>
          </w:p>
        </w:tc>
      </w:tr>
      <w:tr>
        <w:tc>
          <w:tcPr>
            <w:tcW w:type="dxa" w:w="3360"/>
            <w:shd w:fill="F2F2F2"/>
          </w:tcPr>
          <w:p>
            <w:r>
              <w:t>Brain</w:t>
            </w:r>
          </w:p>
        </w:tc>
        <w:tc>
          <w:tcPr>
            <w:tcW w:type="dxa" w:w="3360"/>
            <w:shd w:fill="F2F2F2"/>
          </w:tcPr>
          <w:p>
            <w:r>
              <w:t>brains/mock_brain.py or brains/gemini_brain.py</w:t>
            </w:r>
          </w:p>
        </w:tc>
        <w:tc>
          <w:tcPr>
            <w:tcW w:type="dxa" w:w="3360"/>
            <w:shd w:fill="F2F2F2"/>
          </w:tcPr>
          <w:p>
            <w:r>
              <w:t>Visual reasoning and task decision</w:t>
            </w:r>
          </w:p>
        </w:tc>
      </w:tr>
      <w:tr>
        <w:tc>
          <w:tcPr>
            <w:tcW w:type="dxa" w:w="3360"/>
          </w:tcPr>
          <w:p>
            <w:r>
              <w:t>Schema</w:t>
            </w:r>
          </w:p>
        </w:tc>
        <w:tc>
          <w:tcPr>
            <w:tcW w:type="dxa" w:w="3360"/>
          </w:tcPr>
          <w:p>
            <w:r>
              <w:t>brains/schemas.py</w:t>
            </w:r>
          </w:p>
        </w:tc>
        <w:tc>
          <w:tcPr>
            <w:tcW w:type="dxa" w:w="3360"/>
          </w:tcPr>
          <w:p>
            <w:r>
              <w:t>Decision and SceneObject contracts</w:t>
            </w:r>
          </w:p>
        </w:tc>
      </w:tr>
      <w:tr>
        <w:tc>
          <w:tcPr>
            <w:tcW w:type="dxa" w:w="3360"/>
            <w:shd w:fill="F2F2F2"/>
          </w:tcPr>
          <w:p>
            <w:r>
              <w:t>Action</w:t>
            </w:r>
          </w:p>
        </w:tc>
        <w:tc>
          <w:tcPr>
            <w:tcW w:type="dxa" w:w="3360"/>
            <w:shd w:fill="F2F2F2"/>
          </w:tcPr>
          <w:p>
            <w:r>
              <w:t>actions/mujoco_executor.py</w:t>
            </w:r>
          </w:p>
        </w:tc>
        <w:tc>
          <w:tcPr>
            <w:tcW w:type="dxa" w:w="3360"/>
            <w:shd w:fill="F2F2F2"/>
          </w:tcPr>
          <w:p>
            <w:r>
              <w:t>Reliable pick/place motion skills</w:t>
            </w:r>
          </w:p>
        </w:tc>
      </w:tr>
      <w:tr>
        <w:tc>
          <w:tcPr>
            <w:tcW w:type="dxa" w:w="3360"/>
          </w:tcPr>
          <w:p>
            <w:r>
              <w:t>Demo</w:t>
            </w:r>
          </w:p>
        </w:tc>
        <w:tc>
          <w:tcPr>
            <w:tcW w:type="dxa" w:w="3360"/>
          </w:tcPr>
          <w:p>
            <w:r>
              <w:t>robosuite_gemini_demo.py</w:t>
            </w:r>
          </w:p>
        </w:tc>
        <w:tc>
          <w:tcPr>
            <w:tcW w:type="dxa" w:w="3360"/>
          </w:tcPr>
          <w:p>
            <w:r>
              <w:t>Loop, rendering, logging, recording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97D"/>
          <w:sz w:val="32"/>
        </w:rPr>
        <w:t>3. Decision Contract</w:t>
      </w:r>
    </w:p>
    <w:p>
      <w:pPr>
        <w:ind w:left="360"/>
      </w:pPr>
      <w:r>
        <w:rPr>
          <w:rFonts w:ascii="Courier New" w:hAnsi="Courier New"/>
          <w:sz w:val="18"/>
        </w:rPr>
        <w:t>{</w:t>
      </w:r>
    </w:p>
    <w:p>
      <w:pPr>
        <w:ind w:left="360"/>
      </w:pPr>
      <w:r>
        <w:rPr>
          <w:rFonts w:ascii="Courier New" w:hAnsi="Courier New"/>
          <w:sz w:val="18"/>
        </w:rPr>
        <w:t xml:space="preserve">  "action": "watch|pick_and_place|sort_all_matching|stop|ask_clarification",</w:t>
      </w:r>
    </w:p>
    <w:p>
      <w:pPr>
        <w:ind w:left="360"/>
      </w:pPr>
      <w:r>
        <w:rPr>
          <w:rFonts w:ascii="Courier New" w:hAnsi="Courier New"/>
          <w:sz w:val="18"/>
        </w:rPr>
        <w:t xml:space="preserve">  "target_object": "red_part",</w:t>
      </w:r>
    </w:p>
    <w:p>
      <w:pPr>
        <w:ind w:left="360"/>
      </w:pPr>
      <w:r>
        <w:rPr>
          <w:rFonts w:ascii="Courier New" w:hAnsi="Courier New"/>
          <w:sz w:val="18"/>
        </w:rPr>
        <w:t xml:space="preserve">  "target_description": "red defective part",</w:t>
      </w:r>
    </w:p>
    <w:p>
      <w:pPr>
        <w:ind w:left="360"/>
      </w:pPr>
      <w:r>
        <w:rPr>
          <w:rFonts w:ascii="Courier New" w:hAnsi="Courier New"/>
          <w:sz w:val="18"/>
        </w:rPr>
        <w:t xml:space="preserve">  "destination": "reject_bin",</w:t>
      </w:r>
    </w:p>
    <w:p>
      <w:pPr>
        <w:ind w:left="360"/>
      </w:pPr>
      <w:r>
        <w:rPr>
          <w:rFonts w:ascii="Courier New" w:hAnsi="Courier New"/>
          <w:sz w:val="18"/>
        </w:rPr>
        <w:t xml:space="preserve">  "confidence": 0.95,</w:t>
      </w:r>
    </w:p>
    <w:p>
      <w:pPr>
        <w:ind w:left="360"/>
      </w:pPr>
      <w:r>
        <w:rPr>
          <w:rFonts w:ascii="Courier New" w:hAnsi="Courier New"/>
          <w:sz w:val="18"/>
        </w:rPr>
        <w:t xml:space="preserve">  "reasoning": "The user asked to reject defective parts."</w:t>
      </w:r>
    </w:p>
    <w:p>
      <w:pPr>
        <w:ind w:left="360"/>
      </w:pPr>
      <w:r>
        <w:rPr>
          <w:rFonts w:ascii="Courier New" w:hAnsi="Courier New"/>
          <w:sz w:val="18"/>
        </w:rPr>
        <w:t>}</w:t>
      </w:r>
    </w:p>
    <w:p>
      <w:pPr>
        <w:pStyle w:val="ListBullet"/>
      </w:pPr>
      <w:r>
        <w:rPr>
          <w:rFonts w:ascii="Arial" w:hAnsi="Arial"/>
          <w:sz w:val="21"/>
        </w:rPr>
        <w:t>Gemini is forced to return JSON-only output.</w:t>
      </w:r>
    </w:p>
    <w:p>
      <w:pPr>
        <w:pStyle w:val="ListBullet"/>
      </w:pPr>
      <w:r>
        <w:rPr>
          <w:rFonts w:ascii="Arial" w:hAnsi="Arial"/>
          <w:sz w:val="21"/>
        </w:rPr>
        <w:t>Invalid or non-executable decisions do not move the robot.</w:t>
      </w:r>
    </w:p>
    <w:p>
      <w:pPr>
        <w:pStyle w:val="ListBullet"/>
      </w:pPr>
      <w:r>
        <w:rPr>
          <w:rFonts w:ascii="Arial" w:hAnsi="Arial"/>
          <w:sz w:val="21"/>
        </w:rPr>
        <w:t>Object IDs must come from the local scene hint.</w:t>
      </w:r>
    </w:p>
    <w:p>
      <w:pPr>
        <w:pStyle w:val="Heading1"/>
      </w:pPr>
      <w:r>
        <w:rPr>
          <w:rFonts w:ascii="Arial" w:hAnsi="Arial"/>
          <w:b/>
          <w:color w:val="1F497D"/>
          <w:sz w:val="32"/>
        </w:rPr>
        <w:t>4. Action Execution</w:t>
      </w:r>
    </w:p>
    <w:p>
      <w:pPr>
        <w:spacing w:after="80"/>
      </w:pPr>
      <w:r>
        <w:rPr>
          <w:rFonts w:ascii="Arial" w:hAnsi="Arial"/>
          <w:sz w:val="21"/>
        </w:rPr>
        <w:t>The action executor implements reusable robot skills rather than a hardcoded task. It animates the gantry gripper through hover, grasp, lift, bin hover, drop, and home waypoints, while moving the target part reliably.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97D"/>
          </w:tcPr>
          <w:p>
            <w:r>
              <w:rPr>
                <w:b/>
                <w:color w:val="FFFFFF"/>
              </w:rPr>
              <w:t>Skill</w:t>
            </w:r>
          </w:p>
        </w:tc>
        <w:tc>
          <w:tcPr>
            <w:tcW w:type="dxa" w:w="5040"/>
            <w:shd w:fill="1F497D"/>
          </w:tcPr>
          <w:p>
            <w:r>
              <w:rPr>
                <w:b/>
                <w:color w:val="FFFFFF"/>
              </w:rPr>
              <w:t>Behavior</w:t>
            </w:r>
          </w:p>
        </w:tc>
      </w:tr>
      <w:tr>
        <w:tc>
          <w:tcPr>
            <w:tcW w:type="dxa" w:w="5040"/>
          </w:tcPr>
          <w:p>
            <w:r>
              <w:t>pick_and_place(object, bin)</w:t>
            </w:r>
          </w:p>
        </w:tc>
        <w:tc>
          <w:tcPr>
            <w:tcW w:type="dxa" w:w="5040"/>
          </w:tcPr>
          <w:p>
            <w:r>
              <w:t>Move object to reject_bin or good_bin</w:t>
            </w:r>
          </w:p>
        </w:tc>
      </w:tr>
      <w:tr>
        <w:tc>
          <w:tcPr>
            <w:tcW w:type="dxa" w:w="5040"/>
            <w:shd w:fill="F2F2F2"/>
          </w:tcPr>
          <w:p>
            <w:r>
              <w:t>move_home()</w:t>
            </w:r>
          </w:p>
        </w:tc>
        <w:tc>
          <w:tcPr>
            <w:tcW w:type="dxa" w:w="5040"/>
            <w:shd w:fill="F2F2F2"/>
          </w:tcPr>
          <w:p>
            <w:r>
              <w:t>Return gantry gripper to neutral pose</w:t>
            </w:r>
          </w:p>
        </w:tc>
      </w:tr>
      <w:tr>
        <w:tc>
          <w:tcPr>
            <w:tcW w:type="dxa" w:w="5040"/>
          </w:tcPr>
          <w:p>
            <w:r>
              <w:t>watch</w:t>
            </w:r>
          </w:p>
        </w:tc>
        <w:tc>
          <w:tcPr>
            <w:tcW w:type="dxa" w:w="5040"/>
          </w:tcPr>
          <w:p>
            <w:r>
              <w:t>No motion; wait for another decision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97D"/>
          <w:sz w:val="32"/>
        </w:rPr>
        <w:t>5. Run Modes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97D"/>
          </w:tcPr>
          <w:p>
            <w:r>
              <w:rPr>
                <w:b/>
                <w:color w:val="FFFFFF"/>
              </w:rPr>
              <w:t>Mode</w:t>
            </w:r>
          </w:p>
        </w:tc>
        <w:tc>
          <w:tcPr>
            <w:tcW w:type="dxa" w:w="3360"/>
            <w:shd w:fill="1F497D"/>
          </w:tcPr>
          <w:p>
            <w:r>
              <w:rPr>
                <w:b/>
                <w:color w:val="FFFFFF"/>
              </w:rPr>
              <w:t>Command</w:t>
            </w:r>
          </w:p>
        </w:tc>
        <w:tc>
          <w:tcPr>
            <w:tcW w:type="dxa" w:w="3360"/>
            <w:shd w:fill="1F497D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360"/>
          </w:tcPr>
          <w:p>
            <w:r>
              <w:t>mock</w:t>
            </w:r>
          </w:p>
        </w:tc>
        <w:tc>
          <w:tcPr>
            <w:tcW w:type="dxa" w:w="3360"/>
          </w:tcPr>
          <w:p>
            <w:r>
              <w:t>python robosuite_gemini_demo.py --brain mock</w:t>
            </w:r>
          </w:p>
        </w:tc>
        <w:tc>
          <w:tcPr>
            <w:tcW w:type="dxa" w:w="3360"/>
          </w:tcPr>
          <w:p>
            <w:r>
              <w:t>Offline, deterministic, no API key</w:t>
            </w:r>
          </w:p>
        </w:tc>
      </w:tr>
      <w:tr>
        <w:tc>
          <w:tcPr>
            <w:tcW w:type="dxa" w:w="3360"/>
            <w:shd w:fill="F2F2F2"/>
          </w:tcPr>
          <w:p>
            <w:r>
              <w:t>gemini</w:t>
            </w:r>
          </w:p>
        </w:tc>
        <w:tc>
          <w:tcPr>
            <w:tcW w:type="dxa" w:w="3360"/>
            <w:shd w:fill="F2F2F2"/>
          </w:tcPr>
          <w:p>
            <w:r>
              <w:t>python robosuite_gemini_demo.py --brain gemini</w:t>
            </w:r>
          </w:p>
        </w:tc>
        <w:tc>
          <w:tcPr>
            <w:tcW w:type="dxa" w:w="3360"/>
            <w:shd w:fill="F2F2F2"/>
          </w:tcPr>
          <w:p>
            <w:r>
              <w:t>Hosted visual reasoning</w:t>
            </w:r>
          </w:p>
        </w:tc>
      </w:tr>
      <w:tr>
        <w:tc>
          <w:tcPr>
            <w:tcW w:type="dxa" w:w="3360"/>
          </w:tcPr>
          <w:p>
            <w:r>
              <w:t>headless</w:t>
            </w:r>
          </w:p>
        </w:tc>
        <w:tc>
          <w:tcPr>
            <w:tcW w:type="dxa" w:w="3360"/>
          </w:tcPr>
          <w:p>
            <w:r>
              <w:t>--no-viewer --no-cv-window --save-frames</w:t>
            </w:r>
          </w:p>
        </w:tc>
        <w:tc>
          <w:tcPr>
            <w:tcW w:type="dxa" w:w="3360"/>
          </w:tcPr>
          <w:p>
            <w:r>
              <w:t>Verification and recording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97D"/>
          <w:sz w:val="32"/>
        </w:rPr>
        <w:t>6. Hardware and Dependency Reality</w:t>
      </w:r>
    </w:p>
    <w:p>
      <w:pPr>
        <w:pStyle w:val="ListBullet"/>
      </w:pPr>
      <w:r>
        <w:rPr>
          <w:rFonts w:ascii="Arial" w:hAnsi="Arial"/>
          <w:sz w:val="21"/>
        </w:rPr>
        <w:t>Current PC has Python 3.14 only; robosuite install attempted to compile NumPy and failed without Visual Studio build tools.</w:t>
      </w:r>
    </w:p>
    <w:p>
      <w:pPr>
        <w:pStyle w:val="ListBullet"/>
      </w:pPr>
      <w:r>
        <w:rPr>
          <w:rFonts w:ascii="Arial" w:hAnsi="Arial"/>
          <w:sz w:val="21"/>
        </w:rPr>
        <w:t>The bundled MuJoCo scene runs in the existing venv and preserves the full brain/action architecture.</w:t>
      </w:r>
    </w:p>
    <w:p>
      <w:pPr>
        <w:pStyle w:val="ListBullet"/>
      </w:pPr>
      <w:r>
        <w:rPr>
          <w:rFonts w:ascii="Arial" w:hAnsi="Arial"/>
          <w:sz w:val="21"/>
        </w:rPr>
        <w:t>Recommended robosuite upgrade is a separate Python 3.11 venv.</w:t>
      </w:r>
    </w:p>
    <w:p>
      <w:pPr>
        <w:pStyle w:val="Heading1"/>
      </w:pPr>
      <w:r>
        <w:rPr>
          <w:rFonts w:ascii="Arial" w:hAnsi="Arial"/>
          <w:b/>
          <w:color w:val="1F497D"/>
          <w:sz w:val="32"/>
        </w:rPr>
        <w:t>7. Verification</w:t>
      </w:r>
    </w:p>
    <w:p>
      <w:pPr>
        <w:spacing w:after="80"/>
      </w:pPr>
      <w:r>
        <w:rPr>
          <w:rFonts w:ascii="Arial" w:hAnsi="Arial"/>
          <w:sz w:val="21"/>
        </w:rPr>
        <w:t>Offline smoke test passed: the mock brain selected red_part and dark_part, moved both to reject_bin, and stopped with no defective objects remaining.</w:t>
      </w:r>
    </w:p>
    <w:p>
      <w:pPr>
        <w:ind w:left="360"/>
      </w:pPr>
      <w:r>
        <w:rPr>
          <w:rFonts w:ascii="Courier New" w:hAnsi="Courier New"/>
          <w:sz w:val="18"/>
        </w:rPr>
        <w:t>python robosuite_gemini_demo.py --brain mock --no-viewer --no-cv-window --save-frames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