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Yegge Library</w:t>
      </w:r>
    </w:p>
    <w:p>
      <w:pPr>
        <w:spacing w:after="80"/>
      </w:pPr>
      <w:r>
        <w:rPr>
          <w:rFonts w:ascii="Arial" w:cs="Arial" w:eastAsia="Arial" w:hAnsi="Arial"/>
          <w:b/>
          <w:bCs/>
          <w:color w:val="D97706"/>
          <w:sz w:val="32"/>
          <w:szCs w:val="32"/>
        </w:rPr>
        <w:t xml:space="preserve">Admin Support Guide</w:t>
      </w:r>
    </w:p>
    <w:p>
      <w:pPr>
        <w:pBdr>
          <w:bottom w:val="single" w:color="D97706" w:sz="6" w:space="4"/>
        </w:pBdr>
        <w:spacing w:after="400"/>
      </w:pPr>
      <w:r>
        <w:rPr>
          <w:rFonts w:ascii="Arial" w:cs="Arial" w:eastAsia="Arial" w:hAnsi="Arial"/>
          <w:i/>
          <w:iCs/>
          <w:color w:val="4B5563"/>
          <w:sz w:val="22"/>
          <w:szCs w:val="22"/>
        </w:rPr>
        <w:t xml:space="preserve">How the site works on the admin level — authoring, templates, fields, blocks, and publishing.</w:t>
      </w:r>
    </w:p>
    <w:p>
      <w:pPr>
        <w:pStyle w:val="Heading1"/>
        <w:spacing w:after="160" w:before="360"/>
      </w:pPr>
      <w:r>
        <w:t xml:space="preserve">1. Overview</w:t>
      </w:r>
    </w:p>
    <w:p>
      <w:pPr>
        <w:spacing w:after="120"/>
      </w:pPr>
      <w:r>
        <w:rPr>
          <w:rFonts w:ascii="Arial" w:cs="Arial" w:eastAsia="Arial" w:hAnsi="Arial"/>
          <w:sz w:val="22"/>
          <w:szCs w:val="22"/>
        </w:rPr>
        <w:t xml:space="preserve">The Yegge Library is a two-layer site. Every visitor sees the public library of documents. Signed-in admins get a separate toolkit for authoring those documents, building reusable templates, and attaching rich media (including private, admin-only content).</w:t>
      </w:r>
    </w:p>
    <w:p>
      <w:pPr>
        <w:spacing w:after="120"/>
      </w:pPr>
      <w:r>
        <w:rPr>
          <w:rFonts w:ascii="Arial" w:cs="Arial" w:eastAsia="Arial" w:hAnsi="Arial"/>
          <w:sz w:val="22"/>
          <w:szCs w:val="22"/>
        </w:rPr>
        <w:t xml:space="preserve">As an admin you mainly work in three places:</w:t>
      </w:r>
    </w:p>
    <w:p>
      <w:pPr>
        <w:pStyle w:val="ListParagraph"/>
        <w:numPr>
          <w:ilvl w:val="0"/>
          <w:numId w:val="2"/>
        </w:numPr>
        <w:spacing w:after="60"/>
      </w:pPr>
      <w:r>
        <w:rPr>
          <w:rFonts w:ascii="Arial" w:cs="Arial" w:eastAsia="Arial" w:hAnsi="Arial"/>
          <w:b/>
          <w:bCs/>
          <w:sz w:val="22"/>
          <w:szCs w:val="22"/>
        </w:rPr>
        <w:t xml:space="preserve">Admin dashboard </w:t>
      </w:r>
      <w:r>
        <w:rPr>
          <w:rFonts w:ascii="Arial" w:cs="Arial" w:eastAsia="Arial" w:hAnsi="Arial"/>
          <w:sz w:val="22"/>
          <w:szCs w:val="22"/>
        </w:rPr>
        <w:t xml:space="preserve">(/admin) — the entry point with cards for every tool.</w:t>
      </w:r>
    </w:p>
    <w:p>
      <w:pPr>
        <w:pStyle w:val="ListParagraph"/>
        <w:numPr>
          <w:ilvl w:val="0"/>
          <w:numId w:val="2"/>
        </w:numPr>
        <w:spacing w:after="60"/>
      </w:pPr>
      <w:r>
        <w:rPr>
          <w:rFonts w:ascii="Arial" w:cs="Arial" w:eastAsia="Arial" w:hAnsi="Arial"/>
          <w:b/>
          <w:bCs/>
          <w:sz w:val="22"/>
          <w:szCs w:val="22"/>
        </w:rPr>
        <w:t xml:space="preserve">Markdown Editor </w:t>
      </w:r>
      <w:r>
        <w:rPr>
          <w:rFonts w:ascii="Arial" w:cs="Arial" w:eastAsia="Arial" w:hAnsi="Arial"/>
          <w:sz w:val="22"/>
          <w:szCs w:val="22"/>
        </w:rPr>
        <w:t xml:space="preserve">(/editor) — compose and preview a single document.</w:t>
      </w:r>
    </w:p>
    <w:p>
      <w:pPr>
        <w:pStyle w:val="ListParagraph"/>
        <w:numPr>
          <w:ilvl w:val="0"/>
          <w:numId w:val="2"/>
        </w:numPr>
        <w:spacing w:after="60"/>
      </w:pPr>
      <w:r>
        <w:rPr>
          <w:rFonts w:ascii="Arial" w:cs="Arial" w:eastAsia="Arial" w:hAnsi="Arial"/>
          <w:b/>
          <w:bCs/>
          <w:sz w:val="22"/>
          <w:szCs w:val="22"/>
        </w:rPr>
        <w:t xml:space="preserve">Templates </w:t>
      </w:r>
      <w:r>
        <w:rPr>
          <w:rFonts w:ascii="Arial" w:cs="Arial" w:eastAsia="Arial" w:hAnsi="Arial"/>
          <w:sz w:val="22"/>
          <w:szCs w:val="22"/>
        </w:rPr>
        <w:t xml:space="preserve">(/templates) — design reusable structures you can insert into any document.</w:t>
      </w:r>
    </w:p>
    <w:p>
      <w:pPr>
        <w:pBdr>
          <w:left w:val="single" w:color="D97706" w:sz="18" w:space="8"/>
        </w:pBdr>
        <w:shd w:fill="FEF3C7" w:val="clear"/>
        <w:spacing w:after="160" w:before="120"/>
      </w:pPr>
      <w:r>
        <w:rPr>
          <w:rFonts w:ascii="Arial" w:cs="Arial" w:eastAsia="Arial" w:hAnsi="Arial"/>
          <w:b/>
          <w:bCs/>
          <w:color w:val="78350F"/>
          <w:sz w:val="22"/>
          <w:szCs w:val="22"/>
        </w:rPr>
        <w:t xml:space="preserve">Tip  </w:t>
      </w:r>
      <w:r>
        <w:rPr>
          <w:rFonts w:ascii="Arial" w:cs="Arial" w:eastAsia="Arial" w:hAnsi="Arial"/>
          <w:color w:val="78350F"/>
          <w:sz w:val="22"/>
          <w:szCs w:val="22"/>
        </w:rPr>
        <w:t xml:space="preserve">The shield icon on the homepage is your shortcut in. It only appears when you’re signed in as an admin.</w:t>
      </w:r>
    </w:p>
    <w:p>
      <w:pPr>
        <w:pStyle w:val="Heading1"/>
        <w:spacing w:after="160" w:before="360"/>
      </w:pPr>
      <w:r>
        <w:t xml:space="preserve">2. Signing In</w:t>
      </w:r>
    </w:p>
    <w:p>
      <w:pPr>
        <w:pStyle w:val="ListParagraph"/>
        <w:numPr>
          <w:ilvl w:val="0"/>
          <w:numId w:val="3"/>
        </w:numPr>
        <w:spacing w:after="60"/>
      </w:pPr>
      <w:r>
        <w:rPr>
          <w:rFonts w:ascii="Arial" w:cs="Arial" w:eastAsia="Arial" w:hAnsi="Arial"/>
          <w:sz w:val="22"/>
          <w:szCs w:val="22"/>
        </w:rPr>
        <w:t xml:space="preserve">Open the homepage and click the shield icon (top right) or Admin sign in.</w:t>
      </w:r>
    </w:p>
    <w:p>
      <w:pPr>
        <w:pStyle w:val="ListParagraph"/>
        <w:numPr>
          <w:ilvl w:val="0"/>
          <w:numId w:val="3"/>
        </w:numPr>
        <w:spacing w:after="60"/>
      </w:pPr>
      <w:r>
        <w:rPr>
          <w:rFonts w:ascii="Arial" w:cs="Arial" w:eastAsia="Arial" w:hAnsi="Arial"/>
          <w:sz w:val="22"/>
          <w:szCs w:val="22"/>
        </w:rPr>
        <w:t xml:space="preserve">Authenticate. Email/password and Google sign-in are both supported.</w:t>
      </w:r>
    </w:p>
    <w:p>
      <w:pPr>
        <w:pStyle w:val="ListParagraph"/>
        <w:numPr>
          <w:ilvl w:val="0"/>
          <w:numId w:val="3"/>
        </w:numPr>
        <w:spacing w:after="60"/>
      </w:pPr>
      <w:r>
        <w:rPr>
          <w:rFonts w:ascii="Arial" w:cs="Arial" w:eastAsia="Arial" w:hAnsi="Arial"/>
          <w:sz w:val="22"/>
          <w:szCs w:val="22"/>
        </w:rPr>
        <w:t xml:space="preserve">Once signed in, you land on /admin with access to every tool.</w:t>
      </w:r>
    </w:p>
    <w:p>
      <w:pPr>
        <w:spacing w:after="120"/>
      </w:pPr>
      <w:r>
        <w:rPr>
          <w:rFonts w:ascii="Arial" w:cs="Arial" w:eastAsia="Arial" w:hAnsi="Arial"/>
          <w:sz w:val="22"/>
          <w:szCs w:val="22"/>
        </w:rPr>
        <w:t xml:space="preserve">Sign out from any admin page by returning to the homepage and using the account menu. Signed-in viewers can see private blocks on public documents; anonymous visitors cannot.</w:t>
      </w:r>
    </w:p>
    <w:p>
      <w:pPr>
        <w:pStyle w:val="Heading1"/>
        <w:spacing w:after="160" w:before="360"/>
      </w:pPr>
      <w:r>
        <w:t xml:space="preserve">3. The Markdown Editor</w:t>
      </w:r>
    </w:p>
    <w:p>
      <w:pPr>
        <w:spacing w:after="120"/>
      </w:pPr>
      <w:r>
        <w:rPr>
          <w:rFonts w:ascii="Arial" w:cs="Arial" w:eastAsia="Arial" w:hAnsi="Arial"/>
          <w:sz w:val="22"/>
          <w:szCs w:val="22"/>
        </w:rPr>
        <w:t xml:space="preserve">The editor (/editor) is a live, three-tab composer with a real-time preview on the right (or a tabbed Compose/Preview view on mobile).</w:t>
      </w:r>
    </w:p>
    <w:p>
      <w:pPr>
        <w:pStyle w:val="Heading2"/>
        <w:spacing w:after="120" w:before="280"/>
      </w:pPr>
      <w:r>
        <w:t xml:space="preserve">3.1 The three composer tabs</w:t>
      </w:r>
    </w:p>
    <w:p>
      <w:pPr>
        <w:pStyle w:val="Heading3"/>
        <w:spacing w:after="80" w:before="200"/>
      </w:pPr>
      <w:r>
        <w:t xml:space="preserve">Markdown</w:t>
      </w:r>
    </w:p>
    <w:p>
      <w:pPr>
        <w:spacing w:after="120"/>
      </w:pPr>
      <w:r>
        <w:rPr>
          <w:rFonts w:ascii="Arial" w:cs="Arial" w:eastAsia="Arial" w:hAnsi="Arial"/>
          <w:sz w:val="22"/>
          <w:szCs w:val="22"/>
        </w:rPr>
        <w:t xml:space="preserve">Raw Markdown — the same syntax you already know. Headings, lists, links, fenced code, tables, and images all work. You can also drop in field placeholders like {{title}} and they will be substituted from the Fields tab at render time.</w:t>
      </w:r>
    </w:p>
    <w:p>
      <w:pPr>
        <w:pStyle w:val="Heading3"/>
        <w:spacing w:after="80" w:before="200"/>
      </w:pPr>
      <w:r>
        <w:t xml:space="preserve">Blocks</w:t>
      </w:r>
    </w:p>
    <w:p>
      <w:pPr>
        <w:spacing w:after="120"/>
      </w:pPr>
      <w:r>
        <w:rPr>
          <w:rFonts w:ascii="Arial" w:cs="Arial" w:eastAsia="Arial" w:hAnsi="Arial"/>
          <w:sz w:val="22"/>
          <w:szCs w:val="22"/>
        </w:rPr>
        <w:t xml:space="preserve">Structured rich content (headings, callouts, images, YouTube embeds, iframes, audio players, and more). Blocks render below your raw markdown and are serialized back to markdown on save, so they always stay portable.</w:t>
      </w:r>
    </w:p>
    <w:p>
      <w:pPr>
        <w:spacing w:after="120"/>
      </w:pPr>
      <w:r>
        <w:rPr>
          <w:rFonts w:ascii="Arial" w:cs="Arial" w:eastAsia="Arial" w:hAnsi="Arial"/>
          <w:sz w:val="22"/>
          <w:szCs w:val="22"/>
        </w:rPr>
        <w:t xml:space="preserve">Every block supports:</w:t>
      </w:r>
    </w:p>
    <w:p>
      <w:pPr>
        <w:pStyle w:val="ListParagraph"/>
        <w:numPr>
          <w:ilvl w:val="0"/>
          <w:numId w:val="2"/>
        </w:numPr>
        <w:spacing w:after="60"/>
      </w:pPr>
      <w:r>
        <w:rPr>
          <w:rFonts w:ascii="Arial" w:cs="Arial" w:eastAsia="Arial" w:hAnsi="Arial"/>
          <w:sz w:val="22"/>
          <w:szCs w:val="22"/>
        </w:rPr>
        <w:t xml:space="preserve">Drag-and-drop reordering via the grip handle.</w:t>
      </w:r>
    </w:p>
    <w:p>
      <w:pPr>
        <w:pStyle w:val="ListParagraph"/>
        <w:numPr>
          <w:ilvl w:val="0"/>
          <w:numId w:val="2"/>
        </w:numPr>
        <w:spacing w:after="60"/>
      </w:pPr>
      <w:r>
        <w:rPr>
          <w:rFonts w:ascii="Arial" w:cs="Arial" w:eastAsia="Arial" w:hAnsi="Arial"/>
          <w:sz w:val="22"/>
          <w:szCs w:val="22"/>
        </w:rPr>
        <w:t xml:space="preserve">A Private toggle (padlock) — hides the block from signed-out viewers.</w:t>
      </w:r>
    </w:p>
    <w:p>
      <w:pPr>
        <w:pStyle w:val="ListParagraph"/>
        <w:numPr>
          <w:ilvl w:val="0"/>
          <w:numId w:val="2"/>
        </w:numPr>
        <w:spacing w:after="60"/>
      </w:pPr>
      <w:r>
        <w:rPr>
          <w:rFonts w:ascii="Arial" w:cs="Arial" w:eastAsia="Arial" w:hAnsi="Arial"/>
          <w:sz w:val="22"/>
          <w:szCs w:val="22"/>
        </w:rPr>
        <w:t xml:space="preserve">An optional Anchor ID — wrap the block in a stable &lt;div id="…"&gt; so other docs can deep-link with URL hashes (e.g. /docs/album#track-1).</w:t>
      </w:r>
    </w:p>
    <w:p>
      <w:pPr>
        <w:pStyle w:val="Heading3"/>
        <w:spacing w:after="80" w:before="200"/>
      </w:pPr>
      <w:r>
        <w:t xml:space="preserve">Fields</w:t>
      </w:r>
    </w:p>
    <w:p>
      <w:pPr>
        <w:spacing w:after="120"/>
      </w:pPr>
      <w:r>
        <w:rPr>
          <w:rFonts w:ascii="Arial" w:cs="Arial" w:eastAsia="Arial" w:hAnsi="Arial"/>
          <w:sz w:val="22"/>
          <w:szCs w:val="22"/>
        </w:rPr>
        <w:t xml:space="preserve">Reusable key/value pairs. Define a field, give it a slug (the key), and reference it anywhere as {{key}} in Markdown or Block content. Great for dates, names, or repeating labels that might change later.</w:t>
      </w:r>
    </w:p>
    <w:p>
      <w:pPr>
        <w:spacing w:after="120"/>
      </w:pPr>
      <w:r>
        <w:rPr>
          <w:rFonts w:ascii="Arial" w:cs="Arial" w:eastAsia="Arial" w:hAnsi="Arial"/>
          <w:sz w:val="22"/>
          <w:szCs w:val="22"/>
        </w:rPr>
        <w:t xml:space="preserve">Supported field types include text, multi-line text, number, date, and select (dropdown).</w:t>
      </w:r>
    </w:p>
    <w:p>
      <w:pPr>
        <w:pStyle w:val="Heading2"/>
        <w:spacing w:after="120" w:before="280"/>
      </w:pPr>
      <w:r>
        <w:t xml:space="preserve">3.2 Top-bar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Action</w:t>
            </w:r>
          </w:p>
        </w:tc>
        <w:tc>
          <w:tcPr>
            <w:tcW w:type="dxa" w:w="6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What it does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Insert template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Opens the Template Picker — pick a saved template, fill out its form, and inject the rendered Markdown at your cursor position.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Copy MD</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Copies the combined Markdown (raw + serialized blocks + substituted fields) to your clipboard.</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Export HTML</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Downloads a standalone, styled .html file with the rendered document (dark theme, embedded CSS, no external assets).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Reset</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Clears the draft, blocks, fields, and values. Confirmation required — use this when starting fresh.</w:t>
            </w:r>
          </w:p>
        </w:tc>
      </w:tr>
    </w:tbl>
    <w:p>
      <w:pPr>
        <w:pStyle w:val="Heading2"/>
        <w:spacing w:after="120" w:before="280"/>
      </w:pPr>
      <w:r>
        <w:t xml:space="preserve">3.3 Autosave &amp; drafts</w:t>
      </w:r>
    </w:p>
    <w:p>
      <w:pPr>
        <w:spacing w:after="120"/>
      </w:pPr>
      <w:r>
        <w:rPr>
          <w:rFonts w:ascii="Arial" w:cs="Arial" w:eastAsia="Arial" w:hAnsi="Arial"/>
          <w:sz w:val="22"/>
          <w:szCs w:val="22"/>
        </w:rPr>
        <w:t xml:space="preserve">The editor continuously saves your draft, blocks, fields, and values to the browser. Close the tab and come back later — your work is waiting. But: drafts are per-browser, so don’t rely on them as a long-term store. Export or paste into a published doc when it matters.</w:t>
      </w:r>
    </w:p>
    <w:p>
      <w:pPr>
        <w:pBdr>
          <w:left w:val="single" w:color="D97706" w:sz="18" w:space="8"/>
        </w:pBdr>
        <w:shd w:fill="FEF3C7" w:val="clear"/>
        <w:spacing w:after="160" w:before="120"/>
      </w:pPr>
      <w:r>
        <w:rPr>
          <w:rFonts w:ascii="Arial" w:cs="Arial" w:eastAsia="Arial" w:hAnsi="Arial"/>
          <w:b/>
          <w:bCs/>
          <w:color w:val="78350F"/>
          <w:sz w:val="22"/>
          <w:szCs w:val="22"/>
        </w:rPr>
        <w:t xml:space="preserve">Heads up  </w:t>
      </w:r>
      <w:r>
        <w:rPr>
          <w:rFonts w:ascii="Arial" w:cs="Arial" w:eastAsia="Arial" w:hAnsi="Arial"/>
          <w:color w:val="78350F"/>
          <w:sz w:val="22"/>
          <w:szCs w:val="22"/>
        </w:rPr>
        <w:t xml:space="preserve">Clearing your browser storage also clears your draft. Use Copy MD or Export HTML before any risky cleanup.</w:t>
      </w:r>
    </w:p>
    <w:p>
      <w:pPr>
        <w:pStyle w:val="Heading1"/>
        <w:spacing w:after="160" w:before="360"/>
      </w:pPr>
      <w:r>
        <w:t xml:space="preserve">4. Templates</w:t>
      </w:r>
    </w:p>
    <w:p>
      <w:pPr>
        <w:spacing w:after="120"/>
      </w:pPr>
      <w:r>
        <w:rPr>
          <w:rFonts w:ascii="Arial" w:cs="Arial" w:eastAsia="Arial" w:hAnsi="Arial"/>
          <w:sz w:val="22"/>
          <w:szCs w:val="22"/>
        </w:rPr>
        <w:t xml:space="preserve">A template is a reusable document skeleton: a set of Blocks plus a Fields schema. Admins design them once at /templates, then insert them into any document from the editor (Insert template button).</w:t>
      </w:r>
    </w:p>
    <w:p>
      <w:pPr>
        <w:pStyle w:val="Heading2"/>
        <w:spacing w:after="120" w:before="280"/>
      </w:pPr>
      <w:r>
        <w:t xml:space="preserve">4.1 Creating a template</w:t>
      </w:r>
    </w:p>
    <w:p>
      <w:pPr>
        <w:pStyle w:val="ListParagraph"/>
        <w:numPr>
          <w:ilvl w:val="0"/>
          <w:numId w:val="3"/>
        </w:numPr>
        <w:spacing w:after="60"/>
      </w:pPr>
      <w:r>
        <w:rPr>
          <w:rFonts w:ascii="Arial" w:cs="Arial" w:eastAsia="Arial" w:hAnsi="Arial"/>
          <w:sz w:val="22"/>
          <w:szCs w:val="22"/>
        </w:rPr>
        <w:t xml:space="preserve">Go to /templates and click New template. A blank template with a placeholder heading is created and you jump straight into the Template Designer.</w:t>
      </w:r>
    </w:p>
    <w:p>
      <w:pPr>
        <w:pStyle w:val="ListParagraph"/>
        <w:numPr>
          <w:ilvl w:val="0"/>
          <w:numId w:val="3"/>
        </w:numPr>
        <w:spacing w:after="60"/>
      </w:pPr>
      <w:r>
        <w:rPr>
          <w:rFonts w:ascii="Arial" w:cs="Arial" w:eastAsia="Arial" w:hAnsi="Arial"/>
          <w:sz w:val="22"/>
          <w:szCs w:val="22"/>
        </w:rPr>
        <w:t xml:space="preserve">Rename it. The template name doubles as the heading users see in the picker.</w:t>
      </w:r>
    </w:p>
    <w:p>
      <w:pPr>
        <w:pStyle w:val="ListParagraph"/>
        <w:numPr>
          <w:ilvl w:val="0"/>
          <w:numId w:val="3"/>
        </w:numPr>
        <w:spacing w:after="60"/>
      </w:pPr>
      <w:r>
        <w:rPr>
          <w:rFonts w:ascii="Arial" w:cs="Arial" w:eastAsia="Arial" w:hAnsi="Arial"/>
          <w:sz w:val="22"/>
          <w:szCs w:val="22"/>
        </w:rPr>
        <w:t xml:space="preserve">Add a short description — one line about when to use it.</w:t>
      </w:r>
    </w:p>
    <w:p>
      <w:pPr>
        <w:pStyle w:val="ListParagraph"/>
        <w:numPr>
          <w:ilvl w:val="0"/>
          <w:numId w:val="3"/>
        </w:numPr>
        <w:spacing w:after="60"/>
      </w:pPr>
      <w:r>
        <w:rPr>
          <w:rFonts w:ascii="Arial" w:cs="Arial" w:eastAsia="Arial" w:hAnsi="Arial"/>
          <w:sz w:val="22"/>
          <w:szCs w:val="22"/>
        </w:rPr>
        <w:t xml:space="preserve">Switch to the Fields tab and define the inputs the template needs.</w:t>
      </w:r>
    </w:p>
    <w:p>
      <w:pPr>
        <w:pStyle w:val="ListParagraph"/>
        <w:numPr>
          <w:ilvl w:val="0"/>
          <w:numId w:val="3"/>
        </w:numPr>
        <w:spacing w:after="60"/>
      </w:pPr>
      <w:r>
        <w:rPr>
          <w:rFonts w:ascii="Arial" w:cs="Arial" w:eastAsia="Arial" w:hAnsi="Arial"/>
          <w:sz w:val="22"/>
          <w:szCs w:val="22"/>
        </w:rPr>
        <w:t xml:space="preserve">Switch to the Content tab and build the block layout. Reference fields with {{key}} wherever their value should appear.</w:t>
      </w:r>
    </w:p>
    <w:p>
      <w:pPr>
        <w:pStyle w:val="ListParagraph"/>
        <w:numPr>
          <w:ilvl w:val="0"/>
          <w:numId w:val="3"/>
        </w:numPr>
        <w:spacing w:after="60"/>
      </w:pPr>
      <w:r>
        <w:rPr>
          <w:rFonts w:ascii="Arial" w:cs="Arial" w:eastAsia="Arial" w:hAnsi="Arial"/>
          <w:sz w:val="22"/>
          <w:szCs w:val="22"/>
        </w:rPr>
        <w:t xml:space="preserve">Fill out the Preview’s sample values on the right to confirm the rendering looks correct, then click Save.</w:t>
      </w:r>
    </w:p>
    <w:p>
      <w:pPr>
        <w:pStyle w:val="Heading2"/>
        <w:spacing w:after="120" w:before="280"/>
      </w:pPr>
      <w:r>
        <w:t xml:space="preserve">4.2 Fields: best practices</w:t>
      </w:r>
    </w:p>
    <w:p>
      <w:pPr>
        <w:pStyle w:val="ListParagraph"/>
        <w:numPr>
          <w:ilvl w:val="0"/>
          <w:numId w:val="2"/>
        </w:numPr>
        <w:spacing w:after="60"/>
      </w:pPr>
      <w:r>
        <w:rPr>
          <w:rFonts w:ascii="Arial" w:cs="Arial" w:eastAsia="Arial" w:hAnsi="Arial"/>
          <w:sz w:val="22"/>
          <w:szCs w:val="22"/>
        </w:rPr>
        <w:t xml:space="preserve">Use short, lowercase, underscore-separated keys (e.g. track_title, release_year). The UI slugifies them automatically as you type.</w:t>
      </w:r>
    </w:p>
    <w:p>
      <w:pPr>
        <w:pStyle w:val="ListParagraph"/>
        <w:numPr>
          <w:ilvl w:val="0"/>
          <w:numId w:val="2"/>
        </w:numPr>
        <w:spacing w:after="60"/>
      </w:pPr>
      <w:r>
        <w:rPr>
          <w:rFonts w:ascii="Arial" w:cs="Arial" w:eastAsia="Arial" w:hAnsi="Arial"/>
          <w:sz w:val="22"/>
          <w:szCs w:val="22"/>
        </w:rPr>
        <w:t xml:space="preserve">Give every field a clear label — that’s what appears in the insertion form.</w:t>
      </w:r>
    </w:p>
    <w:p>
      <w:pPr>
        <w:pStyle w:val="ListParagraph"/>
        <w:numPr>
          <w:ilvl w:val="0"/>
          <w:numId w:val="2"/>
        </w:numPr>
        <w:spacing w:after="60"/>
      </w:pPr>
      <w:r>
        <w:rPr>
          <w:rFonts w:ascii="Arial" w:cs="Arial" w:eastAsia="Arial" w:hAnsi="Arial"/>
          <w:sz w:val="22"/>
          <w:szCs w:val="22"/>
        </w:rPr>
        <w:t xml:space="preserve">Mark a field Required only if the template is unusable without it.</w:t>
      </w:r>
    </w:p>
    <w:p>
      <w:pPr>
        <w:pStyle w:val="ListParagraph"/>
        <w:numPr>
          <w:ilvl w:val="0"/>
          <w:numId w:val="2"/>
        </w:numPr>
        <w:spacing w:after="60"/>
      </w:pPr>
      <w:r>
        <w:rPr>
          <w:rFonts w:ascii="Arial" w:cs="Arial" w:eastAsia="Arial" w:hAnsi="Arial"/>
          <w:sz w:val="22"/>
          <w:szCs w:val="22"/>
        </w:rPr>
        <w:t xml:space="preserve">For a dropdown, use the Select type and list the options comma-separated.</w:t>
      </w:r>
    </w:p>
    <w:p>
      <w:pPr>
        <w:pStyle w:val="ListParagraph"/>
        <w:numPr>
          <w:ilvl w:val="0"/>
          <w:numId w:val="2"/>
        </w:numPr>
        <w:spacing w:after="60"/>
      </w:pPr>
      <w:r>
        <w:rPr>
          <w:rFonts w:ascii="Arial" w:cs="Arial" w:eastAsia="Arial" w:hAnsi="Arial"/>
          <w:sz w:val="22"/>
          <w:szCs w:val="22"/>
        </w:rPr>
        <w:t xml:space="preserve">Prefer one well-named field over two near-duplicates. If you find yourself creating artist_name and artist, merge them.</w:t>
      </w:r>
    </w:p>
    <w:p>
      <w:pPr>
        <w:pStyle w:val="Heading2"/>
        <w:spacing w:after="120" w:before="280"/>
      </w:pPr>
      <w:r>
        <w:t xml:space="preserve">4.3 Blocks: best practices</w:t>
      </w:r>
    </w:p>
    <w:p>
      <w:pPr>
        <w:pStyle w:val="ListParagraph"/>
        <w:numPr>
          <w:ilvl w:val="0"/>
          <w:numId w:val="2"/>
        </w:numPr>
        <w:spacing w:after="60"/>
      </w:pPr>
      <w:r>
        <w:rPr>
          <w:rFonts w:ascii="Arial" w:cs="Arial" w:eastAsia="Arial" w:hAnsi="Arial"/>
          <w:sz w:val="22"/>
          <w:szCs w:val="22"/>
        </w:rPr>
        <w:t xml:space="preserve">Start with a Heading 1 block that mirrors the document’s title (it doubles as the exported title).</w:t>
      </w:r>
    </w:p>
    <w:p>
      <w:pPr>
        <w:pStyle w:val="ListParagraph"/>
        <w:numPr>
          <w:ilvl w:val="0"/>
          <w:numId w:val="2"/>
        </w:numPr>
        <w:spacing w:after="60"/>
      </w:pPr>
      <w:r>
        <w:rPr>
          <w:rFonts w:ascii="Arial" w:cs="Arial" w:eastAsia="Arial" w:hAnsi="Arial"/>
          <w:sz w:val="22"/>
          <w:szCs w:val="22"/>
        </w:rPr>
        <w:t xml:space="preserve">Keep private administrative notes (source links, internal checklists) in blocks flagged Private so public viewers don’t see them.</w:t>
      </w:r>
    </w:p>
    <w:p>
      <w:pPr>
        <w:pStyle w:val="ListParagraph"/>
        <w:numPr>
          <w:ilvl w:val="0"/>
          <w:numId w:val="2"/>
        </w:numPr>
        <w:spacing w:after="60"/>
      </w:pPr>
      <w:r>
        <w:rPr>
          <w:rFonts w:ascii="Arial" w:cs="Arial" w:eastAsia="Arial" w:hAnsi="Arial"/>
          <w:sz w:val="22"/>
          <w:szCs w:val="22"/>
        </w:rPr>
        <w:t xml:space="preserve">Give audio blocks and other anchor-worthy blocks an Anchor slug so other pages can link directly to them.</w:t>
      </w:r>
    </w:p>
    <w:p>
      <w:pPr>
        <w:pStyle w:val="ListParagraph"/>
        <w:numPr>
          <w:ilvl w:val="0"/>
          <w:numId w:val="2"/>
        </w:numPr>
        <w:spacing w:after="60"/>
      </w:pPr>
      <w:r>
        <w:rPr>
          <w:rFonts w:ascii="Arial" w:cs="Arial" w:eastAsia="Arial" w:hAnsi="Arial"/>
          <w:sz w:val="22"/>
          <w:szCs w:val="22"/>
        </w:rPr>
        <w:t xml:space="preserve">For cover art, use an Image block above the audio block — the audio block has its own embedded cover art for the player itself.</w:t>
      </w:r>
    </w:p>
    <w:p>
      <w:pPr>
        <w:pStyle w:val="ListParagraph"/>
        <w:numPr>
          <w:ilvl w:val="0"/>
          <w:numId w:val="2"/>
        </w:numPr>
        <w:spacing w:after="60"/>
      </w:pPr>
      <w:r>
        <w:rPr>
          <w:rFonts w:ascii="Arial" w:cs="Arial" w:eastAsia="Arial" w:hAnsi="Arial"/>
          <w:sz w:val="22"/>
          <w:szCs w:val="22"/>
        </w:rPr>
        <w:t xml:space="preserve">Use Callout blocks for warnings, tips, and important dates. They draw the eye without breaking the narrative.</w:t>
      </w:r>
    </w:p>
    <w:p>
      <w:pPr>
        <w:pStyle w:val="ListParagraph"/>
        <w:numPr>
          <w:ilvl w:val="0"/>
          <w:numId w:val="2"/>
        </w:numPr>
        <w:spacing w:after="60"/>
      </w:pPr>
      <w:r>
        <w:rPr>
          <w:rFonts w:ascii="Arial" w:cs="Arial" w:eastAsia="Arial" w:hAnsi="Arial"/>
          <w:sz w:val="22"/>
          <w:szCs w:val="22"/>
        </w:rPr>
        <w:t xml:space="preserve">Avoid long raw Markdown inside a single Paragraph block. Break structure into dedicated blocks so they can be reordered, duplicated, or anchored later.</w:t>
      </w:r>
    </w:p>
    <w:p>
      <w:pPr>
        <w:pStyle w:val="Heading2"/>
        <w:spacing w:after="120" w:before="280"/>
      </w:pPr>
      <w:r>
        <w:t xml:space="preserve">4.4 Inserting a template</w:t>
      </w:r>
    </w:p>
    <w:p>
      <w:pPr>
        <w:pStyle w:val="ListParagraph"/>
        <w:numPr>
          <w:ilvl w:val="0"/>
          <w:numId w:val="3"/>
        </w:numPr>
        <w:spacing w:after="60"/>
      </w:pPr>
      <w:r>
        <w:rPr>
          <w:rFonts w:ascii="Arial" w:cs="Arial" w:eastAsia="Arial" w:hAnsi="Arial"/>
          <w:sz w:val="22"/>
          <w:szCs w:val="22"/>
        </w:rPr>
        <w:t xml:space="preserve">In the editor, click Insert template.</w:t>
      </w:r>
    </w:p>
    <w:p>
      <w:pPr>
        <w:pStyle w:val="ListParagraph"/>
        <w:numPr>
          <w:ilvl w:val="0"/>
          <w:numId w:val="3"/>
        </w:numPr>
        <w:spacing w:after="60"/>
      </w:pPr>
      <w:r>
        <w:rPr>
          <w:rFonts w:ascii="Arial" w:cs="Arial" w:eastAsia="Arial" w:hAnsi="Arial"/>
          <w:sz w:val="22"/>
          <w:szCs w:val="22"/>
        </w:rPr>
        <w:t xml:space="preserve">Choose a template. Its form schema loads into the modal.</w:t>
      </w:r>
    </w:p>
    <w:p>
      <w:pPr>
        <w:pStyle w:val="ListParagraph"/>
        <w:numPr>
          <w:ilvl w:val="0"/>
          <w:numId w:val="3"/>
        </w:numPr>
        <w:spacing w:after="60"/>
      </w:pPr>
      <w:r>
        <w:rPr>
          <w:rFonts w:ascii="Arial" w:cs="Arial" w:eastAsia="Arial" w:hAnsi="Arial"/>
          <w:sz w:val="22"/>
          <w:szCs w:val="22"/>
        </w:rPr>
        <w:t xml:space="preserve">Fill in each field. Required fields are marked.</w:t>
      </w:r>
    </w:p>
    <w:p>
      <w:pPr>
        <w:pStyle w:val="ListParagraph"/>
        <w:numPr>
          <w:ilvl w:val="0"/>
          <w:numId w:val="3"/>
        </w:numPr>
        <w:spacing w:after="60"/>
      </w:pPr>
      <w:r>
        <w:rPr>
          <w:rFonts w:ascii="Arial" w:cs="Arial" w:eastAsia="Arial" w:hAnsi="Arial"/>
          <w:sz w:val="22"/>
          <w:szCs w:val="22"/>
        </w:rPr>
        <w:t xml:space="preserve">Click Insert — the rendered Markdown (with {{key}} substitutions already applied) is injected at your cursor.</w:t>
      </w:r>
    </w:p>
    <w:p>
      <w:pPr>
        <w:pBdr>
          <w:left w:val="single" w:color="D97706" w:sz="18" w:space="8"/>
        </w:pBdr>
        <w:shd w:fill="FEF3C7" w:val="clear"/>
        <w:spacing w:after="160" w:before="120"/>
      </w:pPr>
      <w:r>
        <w:rPr>
          <w:rFonts w:ascii="Arial" w:cs="Arial" w:eastAsia="Arial" w:hAnsi="Arial"/>
          <w:b/>
          <w:bCs/>
          <w:color w:val="78350F"/>
          <w:sz w:val="22"/>
          <w:szCs w:val="22"/>
        </w:rPr>
        <w:t xml:space="preserve">Tip  </w:t>
      </w:r>
      <w:r>
        <w:rPr>
          <w:rFonts w:ascii="Arial" w:cs="Arial" w:eastAsia="Arial" w:hAnsi="Arial"/>
          <w:color w:val="78350F"/>
          <w:sz w:val="22"/>
          <w:szCs w:val="22"/>
        </w:rPr>
        <w:t xml:space="preserve">Inserted content is plain Markdown from that moment on. If the template changes later, already-inserted copies won’t update — re-insert if you need the new version.</w:t>
      </w:r>
    </w:p>
    <w:p>
      <w:pPr>
        <w:pStyle w:val="Heading1"/>
        <w:spacing w:after="160" w:before="360"/>
      </w:pPr>
      <w:r>
        <w:t xml:space="preserve">5. Block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Block</w:t>
            </w:r>
          </w:p>
        </w:tc>
        <w:tc>
          <w:tcPr>
            <w:tcW w:type="dxa" w:w="6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Use it for</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Heading</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Section titles. Levels 1–3. Level 1 usually appears once per document.</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Paragraph</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Prose. Supports inline Markdown and {{field_key}} placeholders.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List</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Bulleted or numbered lists. Reorder items inline.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Quote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Block quotations or attributed call-outs.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Divider</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Horizontal rule between sections.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Callout</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Info / warning / success / danger boxes for emphasis.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Code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Fenced code block with language highlighting.</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Image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Static images. Accepts an external URL plus alt and caption.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YouTube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Paste any YouTube URL — the ID is extracted and embedded as a responsive iframe.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Iframe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Any allow-listed embed (e.g. Bandcamp). Set a fixed height.</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Audio</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Waveform audio player backed by the private audio-tracks storage bucket. Only signed-in users can play.</w:t>
            </w:r>
          </w:p>
        </w:tc>
      </w:tr>
    </w:tbl>
    <w:p>
      <w:pPr>
        <w:pStyle w:val="Heading1"/>
        <w:spacing w:after="160" w:before="360"/>
      </w:pPr>
      <w:r>
        <w:t xml:space="preserve">6. Privacy &amp; Access</w:t>
      </w:r>
    </w:p>
    <w:p>
      <w:pPr>
        <w:spacing w:after="120"/>
      </w:pPr>
      <w:r>
        <w:rPr>
          <w:rFonts w:ascii="Arial" w:cs="Arial" w:eastAsia="Arial" w:hAnsi="Arial"/>
          <w:sz w:val="22"/>
          <w:szCs w:val="22"/>
        </w:rPr>
        <w:t xml:space="preserve">Every block has a padlock toggle. The rule is simple:</w:t>
      </w:r>
    </w:p>
    <w:p>
      <w:pPr>
        <w:pStyle w:val="ListParagraph"/>
        <w:numPr>
          <w:ilvl w:val="0"/>
          <w:numId w:val="2"/>
        </w:numPr>
        <w:spacing w:after="60"/>
      </w:pPr>
      <w:r>
        <w:rPr>
          <w:rFonts w:ascii="Arial" w:cs="Arial" w:eastAsia="Arial" w:hAnsi="Arial"/>
          <w:b/>
          <w:bCs/>
          <w:sz w:val="22"/>
          <w:szCs w:val="22"/>
        </w:rPr>
        <w:t xml:space="preserve">Public blocks </w:t>
      </w:r>
      <w:r>
        <w:rPr>
          <w:rFonts w:ascii="Arial" w:cs="Arial" w:eastAsia="Arial" w:hAnsi="Arial"/>
          <w:sz w:val="22"/>
          <w:szCs w:val="22"/>
        </w:rPr>
        <w:t xml:space="preserve">— visible to everyone.</w:t>
      </w:r>
    </w:p>
    <w:p>
      <w:pPr>
        <w:pStyle w:val="ListParagraph"/>
        <w:numPr>
          <w:ilvl w:val="0"/>
          <w:numId w:val="2"/>
        </w:numPr>
        <w:spacing w:after="60"/>
      </w:pPr>
      <w:r>
        <w:rPr>
          <w:rFonts w:ascii="Arial" w:cs="Arial" w:eastAsia="Arial" w:hAnsi="Arial"/>
          <w:b/>
          <w:bCs/>
          <w:sz w:val="22"/>
          <w:szCs w:val="22"/>
        </w:rPr>
        <w:t xml:space="preserve">Private blocks </w:t>
      </w:r>
      <w:r>
        <w:rPr>
          <w:rFonts w:ascii="Arial" w:cs="Arial" w:eastAsia="Arial" w:hAnsi="Arial"/>
          <w:sz w:val="22"/>
          <w:szCs w:val="22"/>
        </w:rPr>
        <w:t xml:space="preserve">— visible only to signed-in viewers. Everyone else sees a subtle notice that parts of the page are hidden and a prompt to sign in.</w:t>
      </w:r>
    </w:p>
    <w:p>
      <w:pPr>
        <w:spacing w:after="120"/>
      </w:pPr>
      <w:r>
        <w:rPr>
          <w:rFonts w:ascii="Arial" w:cs="Arial" w:eastAsia="Arial" w:hAnsi="Arial"/>
          <w:sz w:val="22"/>
          <w:szCs w:val="22"/>
        </w:rPr>
        <w:t xml:space="preserve">Audio files live in a private storage bucket. The player only receives short-lived, signed URLs — the underlying object key is never exposed to the public. Even so, wrap sensitive audio in a Private block if you need to gate the player entirely.</w:t>
      </w:r>
    </w:p>
    <w:p>
      <w:pPr>
        <w:pBdr>
          <w:left w:val="single" w:color="D97706" w:sz="18" w:space="8"/>
        </w:pBdr>
        <w:shd w:fill="FEF3C7" w:val="clear"/>
        <w:spacing w:after="160" w:before="120"/>
      </w:pPr>
      <w:r>
        <w:rPr>
          <w:rFonts w:ascii="Arial" w:cs="Arial" w:eastAsia="Arial" w:hAnsi="Arial"/>
          <w:b/>
          <w:bCs/>
          <w:color w:val="78350F"/>
          <w:sz w:val="22"/>
          <w:szCs w:val="22"/>
        </w:rPr>
        <w:t xml:space="preserve">Security note  </w:t>
      </w:r>
      <w:r>
        <w:rPr>
          <w:rFonts w:ascii="Arial" w:cs="Arial" w:eastAsia="Arial" w:hAnsi="Arial"/>
          <w:color w:val="78350F"/>
          <w:sz w:val="22"/>
          <w:szCs w:val="22"/>
        </w:rPr>
        <w:t xml:space="preserve">Admin-only routes (/admin, /editor, /templates) are protected both in the UI and by database row-level security. Don’t share personal admin credentials — create a new admin account instead.</w:t>
      </w:r>
    </w:p>
    <w:p>
      <w:pPr>
        <w:pStyle w:val="Heading1"/>
        <w:spacing w:after="160" w:before="360"/>
      </w:pPr>
      <w:r>
        <w:t xml:space="preserve">7. Linking Between Documents</w:t>
      </w:r>
    </w:p>
    <w:p>
      <w:pPr>
        <w:spacing w:after="120"/>
      </w:pPr>
      <w:r>
        <w:rPr>
          <w:rFonts w:ascii="Arial" w:cs="Arial" w:eastAsia="Arial" w:hAnsi="Arial"/>
          <w:sz w:val="22"/>
          <w:szCs w:val="22"/>
        </w:rPr>
        <w:t xml:space="preserve">Because every block can have an anchor slug, cross-document deep links are just Markdown links with a hash:</w:t>
      </w:r>
    </w:p>
    <w:p>
      <w:pPr>
        <w:pBdr>
          <w:top w:val="single" w:color="E5E7EB" w:sz="4" w:space="4"/>
          <w:bottom w:val="single" w:color="E5E7EB" w:sz="4" w:space="4"/>
          <w:left w:val="single" w:color="E5E7EB" w:sz="4" w:space="6"/>
          <w:right w:val="single" w:color="E5E7EB" w:sz="4" w:space="6"/>
        </w:pBdr>
        <w:shd w:fill="F3F4F6" w:val="clear"/>
        <w:spacing w:after="160" w:before="80"/>
      </w:pPr>
      <w:r>
        <w:rPr>
          <w:rFonts w:ascii="Consolas" w:cs="Consolas" w:eastAsia="Consolas" w:hAnsi="Consolas"/>
          <w:sz w:val="20"/>
          <w:szCs w:val="20"/>
        </w:rPr>
        <w:t xml:space="preserve">[Listen to Track 1](/docs/my-album#track-1)</w:t>
      </w:r>
    </w:p>
    <w:p>
      <w:pPr>
        <w:spacing w:after="120"/>
      </w:pPr>
      <w:r>
        <w:rPr>
          <w:rFonts w:ascii="Arial" w:cs="Arial" w:eastAsia="Arial" w:hAnsi="Arial"/>
          <w:sz w:val="22"/>
          <w:szCs w:val="22"/>
        </w:rPr>
        <w:t xml:space="preserve">Rules of thumb:</w:t>
      </w:r>
    </w:p>
    <w:p>
      <w:pPr>
        <w:pStyle w:val="ListParagraph"/>
        <w:numPr>
          <w:ilvl w:val="0"/>
          <w:numId w:val="2"/>
        </w:numPr>
        <w:spacing w:after="60"/>
      </w:pPr>
      <w:r>
        <w:rPr>
          <w:rFonts w:ascii="Arial" w:cs="Arial" w:eastAsia="Arial" w:hAnsi="Arial"/>
          <w:sz w:val="22"/>
          <w:szCs w:val="22"/>
        </w:rPr>
        <w:t xml:space="preserve">Use short, stable slugs. Renaming an anchor breaks any links that used the old value.</w:t>
      </w:r>
    </w:p>
    <w:p>
      <w:pPr>
        <w:pStyle w:val="ListParagraph"/>
        <w:numPr>
          <w:ilvl w:val="0"/>
          <w:numId w:val="2"/>
        </w:numPr>
        <w:spacing w:after="60"/>
      </w:pPr>
      <w:r>
        <w:rPr>
          <w:rFonts w:ascii="Arial" w:cs="Arial" w:eastAsia="Arial" w:hAnsi="Arial"/>
          <w:sz w:val="22"/>
          <w:szCs w:val="22"/>
        </w:rPr>
        <w:t xml:space="preserve">Anchors are scoped to a single document. Two docs can both use #track-1 without conflict.</w:t>
      </w:r>
    </w:p>
    <w:p>
      <w:pPr>
        <w:pStyle w:val="ListParagraph"/>
        <w:numPr>
          <w:ilvl w:val="0"/>
          <w:numId w:val="2"/>
        </w:numPr>
        <w:spacing w:after="60"/>
      </w:pPr>
      <w:r>
        <w:rPr>
          <w:rFonts w:ascii="Arial" w:cs="Arial" w:eastAsia="Arial" w:hAnsi="Arial"/>
          <w:sz w:val="22"/>
          <w:szCs w:val="22"/>
        </w:rPr>
        <w:t xml:space="preserve">The browser gently scrolls with extra top spacing (scroll-mt-24) so anchored blocks clear the page header.</w:t>
      </w:r>
    </w:p>
    <w:p>
      <w:pPr>
        <w:pStyle w:val="Heading1"/>
        <w:spacing w:after="160" w:before="360"/>
      </w:pPr>
      <w:r>
        <w:t xml:space="preserve">8. Recommended Workflow</w:t>
      </w:r>
    </w:p>
    <w:p>
      <w:pPr>
        <w:pStyle w:val="ListParagraph"/>
        <w:numPr>
          <w:ilvl w:val="0"/>
          <w:numId w:val="3"/>
        </w:numPr>
        <w:spacing w:after="60"/>
      </w:pPr>
      <w:r>
        <w:rPr>
          <w:rFonts w:ascii="Arial" w:cs="Arial" w:eastAsia="Arial" w:hAnsi="Arial"/>
          <w:sz w:val="22"/>
          <w:szCs w:val="22"/>
        </w:rPr>
        <w:t xml:space="preserve">Plan the structure. Sketch sections and note which ones need fields (e.g. track listings).</w:t>
      </w:r>
    </w:p>
    <w:p>
      <w:pPr>
        <w:pStyle w:val="ListParagraph"/>
        <w:numPr>
          <w:ilvl w:val="0"/>
          <w:numId w:val="3"/>
        </w:numPr>
        <w:spacing w:after="60"/>
      </w:pPr>
      <w:r>
        <w:rPr>
          <w:rFonts w:ascii="Arial" w:cs="Arial" w:eastAsia="Arial" w:hAnsi="Arial"/>
          <w:sz w:val="22"/>
          <w:szCs w:val="22"/>
        </w:rPr>
        <w:t xml:space="preserve">Create or pick a template. If you’ll reuse the structure, build a template first.</w:t>
      </w:r>
    </w:p>
    <w:p>
      <w:pPr>
        <w:pStyle w:val="ListParagraph"/>
        <w:numPr>
          <w:ilvl w:val="0"/>
          <w:numId w:val="3"/>
        </w:numPr>
        <w:spacing w:after="60"/>
      </w:pPr>
      <w:r>
        <w:rPr>
          <w:rFonts w:ascii="Arial" w:cs="Arial" w:eastAsia="Arial" w:hAnsi="Arial"/>
          <w:sz w:val="22"/>
          <w:szCs w:val="22"/>
        </w:rPr>
        <w:t xml:space="preserve">Compose in the editor. Use Blocks for anything visual, Fields for anything repeated, and raw Markdown for prose.</w:t>
      </w:r>
    </w:p>
    <w:p>
      <w:pPr>
        <w:pStyle w:val="ListParagraph"/>
        <w:numPr>
          <w:ilvl w:val="0"/>
          <w:numId w:val="3"/>
        </w:numPr>
        <w:spacing w:after="60"/>
      </w:pPr>
      <w:r>
        <w:rPr>
          <w:rFonts w:ascii="Arial" w:cs="Arial" w:eastAsia="Arial" w:hAnsi="Arial"/>
          <w:sz w:val="22"/>
          <w:szCs w:val="22"/>
        </w:rPr>
        <w:t xml:space="preserve">Preview thoroughly. Toggle between Compose and Preview on mobile; use the side-by-side view on desktop.</w:t>
      </w:r>
    </w:p>
    <w:p>
      <w:pPr>
        <w:pStyle w:val="ListParagraph"/>
        <w:numPr>
          <w:ilvl w:val="0"/>
          <w:numId w:val="3"/>
        </w:numPr>
        <w:spacing w:after="60"/>
      </w:pPr>
      <w:r>
        <w:rPr>
          <w:rFonts w:ascii="Arial" w:cs="Arial" w:eastAsia="Arial" w:hAnsi="Arial"/>
          <w:sz w:val="22"/>
          <w:szCs w:val="22"/>
        </w:rPr>
        <w:t xml:space="preserve">Gate what’s sensitive. Mark private blocks before sharing the page.</w:t>
      </w:r>
    </w:p>
    <w:p>
      <w:pPr>
        <w:pStyle w:val="ListParagraph"/>
        <w:numPr>
          <w:ilvl w:val="0"/>
          <w:numId w:val="3"/>
        </w:numPr>
        <w:spacing w:after="60"/>
      </w:pPr>
      <w:r>
        <w:rPr>
          <w:rFonts w:ascii="Arial" w:cs="Arial" w:eastAsia="Arial" w:hAnsi="Arial"/>
          <w:sz w:val="22"/>
          <w:szCs w:val="22"/>
        </w:rPr>
        <w:t xml:space="preserve">Export or publish. Use Export HTML for a portable copy, or copy the Markdown into the document store.</w:t>
      </w:r>
    </w:p>
    <w:p>
      <w:pPr>
        <w:pStyle w:val="ListParagraph"/>
        <w:numPr>
          <w:ilvl w:val="0"/>
          <w:numId w:val="3"/>
        </w:numPr>
        <w:spacing w:after="60"/>
      </w:pPr>
      <w:r>
        <w:rPr>
          <w:rFonts w:ascii="Arial" w:cs="Arial" w:eastAsia="Arial" w:hAnsi="Arial"/>
          <w:sz w:val="22"/>
          <w:szCs w:val="22"/>
        </w:rPr>
        <w:t xml:space="preserve">Double-check links. Visit anchor URLs to confirm the target still exists.</w:t>
      </w:r>
    </w:p>
    <w:p>
      <w:pPr>
        <w:pStyle w:val="Heading1"/>
        <w:spacing w:after="160" w:before="360"/>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Symptom</w:t>
            </w:r>
          </w:p>
        </w:tc>
        <w:tc>
          <w:tcPr>
            <w:tcW w:type="dxa" w:w="6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What to check</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{{field}} shows up literally in the preview</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The field slug doesn’t match any defined field. Check capitalization and spelling; slugs are case-sensitive.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Audio block is silent</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Either the track hasn’t uploaded yet, or the viewer is signed out. Private audio requires an authenticated session.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YouTube block renders blank</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The pasted URL didn’t contain a valid 11-character video ID. Use the full watch URL (youtube.com/watch?v=…).</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Inserted template looks different later</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Templates don’t live-update inserted copies. Re-insert to pull in recent edits.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Anchor link doesn’t jump</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The target document must have a block with that exact anchor slug (slug is lowercase, hyphen-separated).</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Lost draft after clearing browser data</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Drafts are stored per-browser. Use Copy MD or Export HTML for long-term safekeeping.</w:t>
            </w:r>
          </w:p>
        </w:tc>
      </w:tr>
    </w:tbl>
    <w:p>
      <w:pPr>
        <w:pStyle w:val="Heading1"/>
        <w:spacing w:after="160" w:before="360"/>
      </w:pPr>
      <w: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Where</w:t>
            </w:r>
          </w:p>
        </w:tc>
        <w:tc>
          <w:tcPr>
            <w:tcW w:type="dxa" w:w="6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sz w:val="20"/>
                <w:szCs w:val="20"/>
              </w:rPr>
              <w:t xml:space="preserve">What to do there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Public home. Shield icon = admin shortcut.</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/admin</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Dashboard with links to every admin tool.</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/editor</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Compose one document with Markdown, Blocks, and Fields.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/templates</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List and create reusable templates.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/templates/:id</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Edit one template’s blocks, fields, and metadata.</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/docs</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Public library index (how readers find documents).</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Consolas" w:cs="Consolas" w:eastAsia="Consolas" w:hAnsi="Consolas"/>
                <w:b w:val="false"/>
                <w:bCs w:val="false"/>
                <w:sz w:val="20"/>
                <w:szCs w:val="20"/>
              </w:rPr>
              <w:t xml:space="preserve">/contact</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rFonts w:ascii="Arial" w:cs="Arial" w:eastAsia="Arial" w:hAnsi="Arial"/>
                <w:b w:val="false"/>
                <w:bCs w:val="false"/>
                <w:sz w:val="20"/>
                <w:szCs w:val="20"/>
              </w:rPr>
              <w:t xml:space="preserve">Public contact page — linked from the homepage footer.</w:t>
            </w:r>
          </w:p>
        </w:tc>
      </w:tr>
    </w:tbl>
    <w:p>
      <w:pPr>
        <w:spacing w:before="400"/>
        <w:jc w:val="center"/>
      </w:pPr>
      <w:r>
        <w:rPr>
          <w:rFonts w:ascii="Arial" w:cs="Arial" w:eastAsia="Arial" w:hAnsi="Arial"/>
          <w:i/>
          <w:iCs/>
          <w:color w:val="4B5563"/>
          <w:sz w:val="20"/>
          <w:szCs w:val="20"/>
        </w:rPr>
        <w:t xml:space="preserve">— End of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11827"/>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D9770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Support Guide</dc:title>
  <dc:creator>The Yegge Library</dc:creator>
  <cp:lastModifiedBy>Un-named</cp:lastModifiedBy>
  <cp:revision>1</cp:revision>
  <dcterms:created xsi:type="dcterms:W3CDTF">2026-04-24T15:56:42.107Z</dcterms:created>
  <dcterms:modified xsi:type="dcterms:W3CDTF">2026-04-24T15:56:42.108Z</dcterms:modified>
</cp:coreProperties>
</file>

<file path=docProps/custom.xml><?xml version="1.0" encoding="utf-8"?>
<Properties xmlns="http://schemas.openxmlformats.org/officeDocument/2006/custom-properties" xmlns:vt="http://schemas.openxmlformats.org/officeDocument/2006/docPropsVTypes"/>
</file>