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Request for Proposals (RFP)</w:t>
      </w:r>
    </w:p>
    <w:p>
      <w:pPr>
        <w:jc w:val="left"/>
      </w:pPr>
      <w:r>
        <w:rPr>
          <w:i/>
          <w:color w:val="595959"/>
          <w:sz w:val="20"/>
        </w:rPr>
        <w:t>IFAD-LMS-2026-07 | Learning Management System Services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Entidad contratante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International Fund for Agricultural Development (IFAD)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IFAD-LMS-2026-07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Objeto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Customization, hosting, maintenance and technical support of an open-source LMS for Project Management Units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Modalidad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Competitive RFP with two-envelope submission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Fecha de emision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 May 2026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Fecha limite de propuestas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 June 2026, 14:00 Rome time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Canal de preguntas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procurement@ifad.example.org</w:t>
            </w:r>
          </w:p>
        </w:tc>
      </w:tr>
    </w:tbl>
    <w:p/>
    <w:p>
      <w:pPr>
        <w:pStyle w:val="Heading1"/>
      </w:pPr>
      <w:r>
        <w:t>1. Background</w:t>
      </w:r>
    </w:p>
    <w:p>
      <w:r>
        <w:t>IFAD seeks a specialized service provider to configure, host, operate and evolve a multi-tenant learning management system that supports remote and blended capacity-building activities for national project management units, implementation partners and country teams.</w:t>
      </w:r>
    </w:p>
    <w:p>
      <w:r>
        <w:t>The selected contractor will provide implementation services, managed hosting, application support, security hardening, minor enhancements and technical advisory services during the initial contract term.</w:t>
      </w:r>
    </w:p>
    <w:p>
      <w:pPr>
        <w:pStyle w:val="Heading1"/>
      </w:pPr>
      <w:r>
        <w:t>2. Scope of services</w:t>
      </w:r>
    </w:p>
    <w:p>
      <w:pPr>
        <w:pStyle w:val="ListBullet"/>
      </w:pPr>
      <w:r>
        <w:t>Initial discovery, configuration and branding of the LMS based on an open-source platform.</w:t>
      </w:r>
    </w:p>
    <w:p>
      <w:pPr>
        <w:pStyle w:val="ListBullet"/>
      </w:pPr>
      <w:r>
        <w:t>Migration of legacy courses, users and completion records from the incumbent environment.</w:t>
      </w:r>
    </w:p>
    <w:p>
      <w:pPr>
        <w:pStyle w:val="ListBullet"/>
      </w:pPr>
      <w:r>
        <w:t>Managed cloud hosting in a secure environment with daily backup and monitored availability.</w:t>
      </w:r>
    </w:p>
    <w:p>
      <w:pPr>
        <w:pStyle w:val="ListBullet"/>
      </w:pPr>
      <w:r>
        <w:t>Second-line and third-line support, bug fixing, release management and minor evolutionary changes.</w:t>
      </w:r>
    </w:p>
    <w:p>
      <w:pPr>
        <w:pStyle w:val="ListBullet"/>
      </w:pPr>
      <w:r>
        <w:t>Administrator training, knowledge transfer and monthly service reporting.</w:t>
      </w:r>
    </w:p>
    <w:p>
      <w:pPr>
        <w:pStyle w:val="Heading2"/>
      </w:pPr>
      <w:r>
        <w:t>3. Contract components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763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Platform setup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Tenant configuration, roles, themes, learning paths, multilingual settings and reporting baseline.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Data mapping, import scripts, test migration and production cutover support.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Managed operations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Hosting, monitoring, backup, patching, capacity management and incident response.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Enhancement backlog</w:t>
            </w:r>
          </w:p>
        </w:tc>
        <w:tc>
          <w:tcPr>
            <w:tcW w:type="dxa" w:w="76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Small change requests, UX improvements and workflow automation subject to agreed effort caps.</w:t>
            </w:r>
          </w:p>
        </w:tc>
      </w:tr>
    </w:tbl>
    <w:p/>
    <w:p>
      <w:pPr>
        <w:pStyle w:val="Heading1"/>
      </w:pPr>
      <w:r>
        <w:t>4. Proposal requirements</w:t>
      </w:r>
    </w:p>
    <w:p>
      <w:pPr>
        <w:pStyle w:val="ListBullet"/>
      </w:pPr>
      <w:r>
        <w:t>Executive summary and implementation approach.</w:t>
      </w:r>
    </w:p>
    <w:p>
      <w:pPr>
        <w:pStyle w:val="ListBullet"/>
      </w:pPr>
      <w:r>
        <w:t>Company profile and relevant experience in LMS and open-source managed services.</w:t>
      </w:r>
    </w:p>
    <w:p>
      <w:pPr>
        <w:pStyle w:val="ListBullet"/>
      </w:pPr>
      <w:r>
        <w:t>Technical architecture, hosting approach, support model and SLA proposal.</w:t>
      </w:r>
    </w:p>
    <w:p>
      <w:pPr>
        <w:pStyle w:val="ListBullet"/>
      </w:pPr>
      <w:r>
        <w:t>Delivery team, governance structure and risk management approach.</w:t>
      </w:r>
    </w:p>
    <w:p>
      <w:pPr>
        <w:pStyle w:val="ListBullet"/>
      </w:pPr>
      <w:r>
        <w:t>Separate financial proposal in the prescribed template.</w:t>
      </w:r>
    </w:p>
    <w:p>
      <w:pPr>
        <w:pStyle w:val="Heading1"/>
      </w:pPr>
      <w:r>
        <w:t>5. Evaluation methodology</w:t>
      </w:r>
    </w:p>
    <w:p>
      <w:r>
        <w:t>Technical proposals will be assessed before financial opening. The indicative weighting is 70% technical and 30% financial. Minimum technical passing score: 75/100.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72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Peso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Understanding of requirements and implementation approach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Relevant corporate experience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Proposed team and governance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Hosting, security and support model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Financial proposal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30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IFAD-LMS-2026-07 | Learning Management System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