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Technical Specification</w:t>
      </w:r>
    </w:p>
    <w:p>
      <w:pPr>
        <w:jc w:val="left"/>
      </w:pPr>
      <w:r>
        <w:rPr>
          <w:i/>
          <w:color w:val="595959"/>
          <w:sz w:val="20"/>
        </w:rPr>
        <w:t>IFAD-LMS-2026-07 | LMS Functional and Technical Annex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Annex A - Technical Specification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after="0"/>
            </w:pPr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Digital Learning and Knowledge Division</w:t>
            </w:r>
          </w:p>
        </w:tc>
      </w:tr>
    </w:tbl>
    <w:p/>
    <w:p>
      <w:pPr>
        <w:pStyle w:val="Heading1"/>
      </w:pPr>
      <w:r>
        <w:t>1. Functional baseline</w:t>
      </w:r>
    </w:p>
    <w:p>
      <w:pPr>
        <w:pStyle w:val="ListBullet"/>
      </w:pPr>
      <w:r>
        <w:t>Course catalog, enrollment workflows, learning paths and certification management.</w:t>
      </w:r>
    </w:p>
    <w:p>
      <w:pPr>
        <w:pStyle w:val="ListBullet"/>
      </w:pPr>
      <w:r>
        <w:t>Support for SCORM 1.2, xAPI-ready content ingestion and webinar integrations.</w:t>
      </w:r>
    </w:p>
    <w:p>
      <w:pPr>
        <w:pStyle w:val="ListBullet"/>
      </w:pPr>
      <w:r>
        <w:t>User segmentation by country office, project, partner organization and language.</w:t>
      </w:r>
    </w:p>
    <w:p>
      <w:pPr>
        <w:pStyle w:val="ListBullet"/>
      </w:pPr>
      <w:r>
        <w:t>Dashboards for participation, completion, quiz performance and cohort analytics.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7776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Minimum requirement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Open-source LMS with configurable APIs, role-based access control and modular plugin ecosystem.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Languages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English, French and Spanish user interface with translatable content structures.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Conformance target aligned with WCAG 2.1 AA for core learner journeys.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CSV export, scheduled reports and admin dashboard with filterable indicators.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77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SSO via SAML or OIDC and SMTP service integration.</w:t>
            </w:r>
          </w:p>
        </w:tc>
      </w:tr>
    </w:tbl>
    <w:p/>
    <w:p>
      <w:pPr>
        <w:pStyle w:val="Heading1"/>
      </w:pPr>
      <w:r>
        <w:t>2. Non-functional requirements</w:t>
      </w:r>
    </w:p>
    <w:p>
      <w:pPr>
        <w:pStyle w:val="ListBullet"/>
      </w:pPr>
      <w:r>
        <w:t>Target service availability of 99.5% monthly excluding approved maintenance windows.</w:t>
      </w:r>
    </w:p>
    <w:p>
      <w:pPr>
        <w:pStyle w:val="ListBullet"/>
      </w:pPr>
      <w:r>
        <w:t>Recovery point objective not greater than 24 hours and recovery time objective not greater than 8 hours.</w:t>
      </w:r>
    </w:p>
    <w:p>
      <w:pPr>
        <w:pStyle w:val="ListBullet"/>
      </w:pPr>
      <w:r>
        <w:t>Audit logs for privileged actions and configurable password and MFA policies for administrators.</w:t>
      </w:r>
    </w:p>
    <w:p>
      <w:pPr>
        <w:pStyle w:val="ListBullet"/>
      </w:pPr>
      <w:r>
        <w:t>Production and non-production environments separated logically and operationally.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IFAD-LMS-2026-07 | LMS Functional and Technical Annex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