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Hosting, Support and Maintenance Requirements</w:t>
      </w:r>
    </w:p>
    <w:p>
      <w:pPr>
        <w:jc w:val="left"/>
      </w:pPr>
      <w:r>
        <w:rPr>
          <w:i/>
          <w:color w:val="595959"/>
          <w:sz w:val="20"/>
        </w:rPr>
        <w:t>IFAD-LMS-2026-07 | Annex B</w:t>
      </w:r>
    </w:p>
    <w:p>
      <w:pPr>
        <w:pStyle w:val="Heading1"/>
      </w:pPr>
      <w:r>
        <w:t>1. Hosting model</w:t>
      </w:r>
    </w:p>
    <w:p>
      <w:r>
        <w:t>The contractor shall provide managed hosting on a reputable cloud provider within a region acceptable to IFAD, including environment provisioning, patching, security baselines, backup automation and performance monitoring.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Servicio</w:t>
            </w:r>
          </w:p>
        </w:tc>
        <w:tc>
          <w:tcPr>
            <w:tcW w:type="dxa" w:w="547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2160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Indicador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Managed uptime for production environment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99.5% monthly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Incident response P1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Acknowledge and engage incident bridge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30 minutes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Incident response P2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Acknowledge and start remediation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2 hours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Standard request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Fulfil service request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 business days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Backup retention</w:t>
            </w:r>
          </w:p>
        </w:tc>
        <w:tc>
          <w:tcPr>
            <w:tcW w:type="dxa" w:w="54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Daily encrypted backup copies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35 days</w:t>
            </w:r>
          </w:p>
        </w:tc>
      </w:tr>
    </w:tbl>
    <w:p/>
    <w:p>
      <w:pPr>
        <w:pStyle w:val="Heading1"/>
      </w:pPr>
      <w:r>
        <w:t>2. Maintenance obligations</w:t>
      </w:r>
    </w:p>
    <w:p>
      <w:pPr>
        <w:pStyle w:val="ListBullet"/>
      </w:pPr>
      <w:r>
        <w:t>Monthly preventive maintenance and patch management for application and underlying components.</w:t>
      </w:r>
    </w:p>
    <w:p>
      <w:pPr>
        <w:pStyle w:val="ListBullet"/>
      </w:pPr>
      <w:r>
        <w:t>Quarterly security review and dependency update recommendations.</w:t>
      </w:r>
    </w:p>
    <w:p>
      <w:pPr>
        <w:pStyle w:val="ListBullet"/>
      </w:pPr>
      <w:r>
        <w:t>Release notes, rollback procedures and post-release validation for all production deployments.</w:t>
      </w:r>
    </w:p>
    <w:p>
      <w:pPr>
        <w:pStyle w:val="ListBullet"/>
      </w:pPr>
      <w:r>
        <w:t>Service review meeting and KPI report issued every month.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Annex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