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Supplier Eligibility Conditions</w:t>
      </w:r>
    </w:p>
    <w:p>
      <w:pPr>
        <w:jc w:val="left"/>
      </w:pPr>
      <w:r>
        <w:rPr>
          <w:i/>
          <w:color w:val="595959"/>
          <w:sz w:val="20"/>
        </w:rPr>
        <w:t>IFAD-LMS-2026-07 | Annex C</w:t>
      </w:r>
    </w:p>
    <w:p>
      <w:pPr>
        <w:pStyle w:val="Heading1"/>
      </w:pPr>
      <w:r>
        <w:t>1. Mandatory eligibility</w:t>
      </w:r>
    </w:p>
    <w:p>
      <w:pPr>
        <w:pStyle w:val="ListBullet"/>
      </w:pPr>
      <w:r>
        <w:t>Legally incorporated entity with at least five years of operational history.</w:t>
      </w:r>
    </w:p>
    <w:p>
      <w:pPr>
        <w:pStyle w:val="ListBullet"/>
      </w:pPr>
      <w:r>
        <w:t>Demonstrated experience in at least three comparable assignments involving LMS implementation or managed support.</w:t>
      </w:r>
    </w:p>
    <w:p>
      <w:pPr>
        <w:pStyle w:val="ListBullet"/>
      </w:pPr>
      <w:r>
        <w:t>No conflict of interest with IFAD staff or implementing partners directly involved in the process.</w:t>
      </w:r>
    </w:p>
    <w:p>
      <w:pPr>
        <w:pStyle w:val="ListBullet"/>
      </w:pPr>
      <w:r>
        <w:t>Acceptance of IFAD supplier code of conduct and anti-fraud declarations.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Evidence requested</w:t>
            </w:r>
          </w:p>
        </w:tc>
        <w:tc>
          <w:tcPr>
            <w:tcW w:type="dxa" w:w="547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Minimum threshold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Company registration document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Current and valid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Relevant references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 projects completed within the last 5 years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Professional liability insurance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Active policy or binder at contract award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Financial standing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Positive net assets or equivalent justification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Sanctions/debarment statement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Signed declaration required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IFAD-LMS-2026-07 | Annex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