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color w:val="1F4E79"/>
        </w:rPr>
        <w:t>Proposal Forms</w:t>
      </w:r>
    </w:p>
    <w:p>
      <w:pPr>
        <w:jc w:val="left"/>
      </w:pPr>
      <w:r>
        <w:rPr>
          <w:i/>
          <w:color w:val="595959"/>
          <w:sz w:val="20"/>
        </w:rPr>
        <w:t>IFAD-LMS-2026-07 | Technical and Financial Templates</w:t>
      </w:r>
    </w:p>
    <w:p>
      <w:pPr>
        <w:pStyle w:val="Heading1"/>
      </w:pPr>
      <w:r>
        <w:t>Instructions to bidders</w:t>
      </w:r>
    </w:p>
    <w:p>
      <w:r>
        <w:t>Bidders shall complete all templates in full. Technical and financial submissions shall be separated and clearly labeled. Prices shall be quoted in EUR exclusive of VAT unless otherwise stated.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872"/>
            <w:vAlign w:val="center"/>
            <w:shd w:fill="BFD7EE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9"/>
              </w:rPr>
              <w:t>Formato</w:t>
            </w:r>
          </w:p>
        </w:tc>
        <w:tc>
          <w:tcPr>
            <w:tcW w:type="dxa" w:w="8208"/>
            <w:vAlign w:val="center"/>
            <w:shd w:fill="BFD7EE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sz w:val="19"/>
              </w:rPr>
              <w:t>Contenido requerido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B"/>
          </w:tcPr>
          <w:p>
            <w:r>
              <w:rPr>
                <w:sz w:val="18"/>
              </w:rPr>
              <w:t>Form 1</w:t>
            </w:r>
          </w:p>
        </w:tc>
        <w:tc>
          <w:tcPr>
            <w:tcW w:type="dxa" w:w="82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B"/>
          </w:tcPr>
          <w:p>
            <w:r>
              <w:rPr>
                <w:sz w:val="18"/>
              </w:rPr>
              <w:t>Bid submission letter and authorized signature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Form 2</w:t>
            </w:r>
          </w:p>
        </w:tc>
        <w:tc>
          <w:tcPr>
            <w:tcW w:type="dxa" w:w="82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Bidder profile and legal information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B"/>
          </w:tcPr>
          <w:p>
            <w:r>
              <w:rPr>
                <w:sz w:val="18"/>
              </w:rPr>
              <w:t>Form 3</w:t>
            </w:r>
          </w:p>
        </w:tc>
        <w:tc>
          <w:tcPr>
            <w:tcW w:type="dxa" w:w="82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B"/>
          </w:tcPr>
          <w:p>
            <w:r>
              <w:rPr>
                <w:sz w:val="18"/>
              </w:rPr>
              <w:t>Relevant project references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Form 4</w:t>
            </w:r>
          </w:p>
        </w:tc>
        <w:tc>
          <w:tcPr>
            <w:tcW w:type="dxa" w:w="82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Proposed team and availability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B"/>
          </w:tcPr>
          <w:p>
            <w:r>
              <w:rPr>
                <w:sz w:val="18"/>
              </w:rPr>
              <w:t>Form 5</w:t>
            </w:r>
          </w:p>
        </w:tc>
        <w:tc>
          <w:tcPr>
            <w:tcW w:type="dxa" w:w="82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3F7FB"/>
          </w:tcPr>
          <w:p>
            <w:r>
              <w:rPr>
                <w:sz w:val="18"/>
              </w:rPr>
              <w:t>Technical compliance matrix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Form 6</w:t>
            </w:r>
          </w:p>
        </w:tc>
        <w:tc>
          <w:tcPr>
            <w:tcW w:type="dxa" w:w="820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sz w:val="18"/>
              </w:rPr>
              <w:t>Financial breakdown by workstream and recurring service</w:t>
            </w:r>
          </w:p>
        </w:tc>
      </w:tr>
    </w:tbl>
    <w:p/>
    <w:p>
      <w:pPr>
        <w:pStyle w:val="Heading1"/>
      </w:pPr>
      <w:r>
        <w:t>Financial pricing schedule</w:t>
      </w:r>
    </w:p>
    <w:p>
      <w:pPr>
        <w:pStyle w:val="ListBullet"/>
      </w:pPr>
      <w:r>
        <w:t>Implementation and configuration one-time fees.</w:t>
      </w:r>
    </w:p>
    <w:p>
      <w:pPr>
        <w:pStyle w:val="ListBullet"/>
      </w:pPr>
      <w:r>
        <w:t>Migration and testing services.</w:t>
      </w:r>
    </w:p>
    <w:p>
      <w:pPr>
        <w:pStyle w:val="ListBullet"/>
      </w:pPr>
      <w:r>
        <w:t>Monthly managed hosting and support fee.</w:t>
      </w:r>
    </w:p>
    <w:p>
      <w:pPr>
        <w:pStyle w:val="ListBullet"/>
      </w:pPr>
      <w:r>
        <w:t>Optional rate card for additional change requests.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864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95959"/>
        <w:sz w:val="16"/>
      </w:rPr>
      <w:t xml:space="preserve">Documento ficticio de trabajo | Pagina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595959"/>
        <w:sz w:val="17"/>
      </w:rPr>
      <w:t>IFAD-LMS-2026-07 | Technical and Financial Templates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