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Official Procurement Timeline and Clarifications</w:t>
      </w:r>
    </w:p>
    <w:p>
      <w:pPr>
        <w:jc w:val="left"/>
      </w:pPr>
      <w:r>
        <w:rPr>
          <w:i/>
          <w:color w:val="595959"/>
          <w:sz w:val="20"/>
        </w:rPr>
        <w:t>IFAD-LMS-2026-07 | Procurement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331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RFP issued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15 May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Documents released to invited and public bidders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Deadline for questions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27 May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Questions by email only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Clarifications published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 June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Consolidated answers shared with all bidders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Proposal submission deadline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 June 2026, 14:00 Rome time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Late submissions not accepted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Technical evaluation window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11-18 June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Subject to internal committee agenda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Expected award notice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26 June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Indicative only</w:t>
            </w:r>
          </w:p>
        </w:tc>
      </w:tr>
    </w:tbl>
    <w:p/>
    <w:p>
      <w:pPr>
        <w:pStyle w:val="Heading1"/>
      </w:pPr>
      <w:r>
        <w:t>Clarifications channel</w:t>
      </w:r>
    </w:p>
    <w:p>
      <w:r>
        <w:t>All clarification requests shall be sent to procurement@ifad.example.org with subject line “IFAD-LMS-2026-07 | Clarification Request”. No bilateral meetings will be scheduled during the open 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Procurement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