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F4E79"/>
        </w:rPr>
        <w:t>Internal Capability Summary</w:t>
      </w:r>
    </w:p>
    <w:p>
      <w:pPr>
        <w:jc w:val="left"/>
      </w:pPr>
      <w:r>
        <w:rPr>
          <w:i/>
          <w:color w:val="595959"/>
          <w:sz w:val="20"/>
        </w:rPr>
        <w:t>Confidential | LMS, open-source operations and evolutionary support</w:t>
      </w:r>
    </w:p>
    <w:p>
      <w:pPr>
        <w:pStyle w:val="Heading1"/>
      </w:pPr>
      <w:r>
        <w:t>1. Internal experience snapshot</w:t>
      </w:r>
    </w:p>
    <w:p>
      <w:r>
        <w:t>This internal note summarizes recent experience relevant to LMS implementation, managed support and open-source operation models that may support a future pursuit decision.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48"/>
            <w:vAlign w:val="center"/>
            <w:shd w:fill="BFD7EE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9"/>
              </w:rPr>
              <w:t>Cliente</w:t>
            </w:r>
          </w:p>
        </w:tc>
        <w:tc>
          <w:tcPr>
            <w:tcW w:type="dxa" w:w="3744"/>
            <w:vAlign w:val="center"/>
            <w:shd w:fill="BFD7EE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9"/>
              </w:rPr>
              <w:t>Servicio prestado</w:t>
            </w:r>
          </w:p>
        </w:tc>
        <w:tc>
          <w:tcPr>
            <w:tcW w:type="dxa" w:w="1872"/>
            <w:vAlign w:val="center"/>
            <w:shd w:fill="BFD7EE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9"/>
              </w:rPr>
              <w:t>Tecnologia</w:t>
            </w:r>
          </w:p>
        </w:tc>
        <w:tc>
          <w:tcPr>
            <w:tcW w:type="dxa" w:w="2448"/>
            <w:vAlign w:val="center"/>
            <w:shd w:fill="BFD7EE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9"/>
              </w:rPr>
              <w:t>Resultado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B"/>
          </w:tcPr>
          <w:p>
            <w:r>
              <w:rPr>
                <w:sz w:val="18"/>
              </w:rPr>
              <w:t>Regional development agency</w:t>
            </w:r>
          </w:p>
        </w:tc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B"/>
          </w:tcPr>
          <w:p>
            <w:r>
              <w:rPr>
                <w:sz w:val="18"/>
              </w:rPr>
              <w:t>Migration and managed support of training portal</w:t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B"/>
          </w:tcPr>
          <w:p>
            <w:r>
              <w:rPr>
                <w:sz w:val="18"/>
              </w:rPr>
              <w:t>Moodle + Azure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B"/>
          </w:tcPr>
          <w:p>
            <w:r>
              <w:rPr>
                <w:sz w:val="18"/>
              </w:rPr>
              <w:t>18,000 learners migrated with monthly SLA reporting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Public sector academy</w:t>
            </w:r>
          </w:p>
        </w:tc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UX redesign and release management for LMS</w:t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Open edX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Completion rate dashboard and accessibility remediation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B"/>
          </w:tcPr>
          <w:p>
            <w:r>
              <w:rPr>
                <w:sz w:val="18"/>
              </w:rPr>
              <w:t>Foundation network</w:t>
            </w:r>
          </w:p>
        </w:tc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B"/>
          </w:tcPr>
          <w:p>
            <w:r>
              <w:rPr>
                <w:sz w:val="18"/>
              </w:rPr>
              <w:t>Cloud hosting and enhancement backlog management</w:t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B"/>
          </w:tcPr>
          <w:p>
            <w:r>
              <w:rPr>
                <w:sz w:val="18"/>
              </w:rPr>
              <w:t>Moodle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B"/>
          </w:tcPr>
          <w:p>
            <w:r>
              <w:rPr>
                <w:sz w:val="18"/>
              </w:rPr>
              <w:t>99.7% measured uptime and multilingual deployment</w:t>
            </w:r>
          </w:p>
        </w:tc>
      </w:tr>
    </w:tbl>
    <w:p/>
    <w:p>
      <w:pPr>
        <w:pStyle w:val="Heading1"/>
      </w:pPr>
      <w:r>
        <w:t>2. Reusable assets</w:t>
      </w:r>
    </w:p>
    <w:p>
      <w:pPr>
        <w:pStyle w:val="ListBullet"/>
      </w:pPr>
      <w:r>
        <w:t>Operational runbooks for incident, backup, restore and deployment control.</w:t>
      </w:r>
    </w:p>
    <w:p>
      <w:pPr>
        <w:pStyle w:val="ListBullet"/>
      </w:pPr>
      <w:r>
        <w:t>Baseline accessibility checklist for learner-facing journeys.</w:t>
      </w:r>
    </w:p>
    <w:p>
      <w:pPr>
        <w:pStyle w:val="ListBullet"/>
      </w:pPr>
      <w:r>
        <w:t>Templates for service review reporting and enhancement backlog triage.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</w:rPr>
      <w:t xml:space="preserve">Documento ficticio de trabajo | Pagina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95959"/>
        <w:sz w:val="17"/>
      </w:rPr>
      <w:t>Confidential | LMS, open-source operations and evolutionary support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