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Functional Scope of the AI Platform</w:t>
      </w:r>
    </w:p>
    <w:p>
      <w:pPr>
        <w:jc w:val="left"/>
      </w:pPr>
      <w:r>
        <w:rPr>
          <w:i/>
          <w:color w:val="595959"/>
          <w:sz w:val="20"/>
        </w:rPr>
        <w:t>WHO-AI-TZA-2026-03 | Annex 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Module</w:t>
            </w:r>
          </w:p>
        </w:tc>
        <w:tc>
          <w:tcPr>
            <w:tcW w:type="dxa" w:w="7776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Required capabilities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Data intake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Upload structured datasets, import templates, manual entry forms and metadata tagging.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Review workflow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Draft, review, comment and approval stages with role-based routing and audit trail.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Planning dashboards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Indicators, geographic views, trend analysis and printable summary packs.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AI-assisted analysis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Summaries, gap clustering, scenario comparison and recommendation drafting with reviewer confirmation.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Export to Word, PDF and spreadsheet formats with standard ministry templates.</w:t>
            </w:r>
          </w:p>
        </w:tc>
      </w:tr>
    </w:tbl>
    <w:p/>
    <w:p>
      <w:pPr>
        <w:pStyle w:val="Heading1"/>
      </w:pPr>
      <w:r>
        <w:t>User groups</w:t>
      </w:r>
    </w:p>
    <w:p>
      <w:pPr>
        <w:pStyle w:val="ListBullet"/>
      </w:pPr>
      <w:r>
        <w:t>WHO technical team and country office coordination users.</w:t>
      </w:r>
    </w:p>
    <w:p>
      <w:pPr>
        <w:pStyle w:val="ListBullet"/>
      </w:pPr>
      <w:r>
        <w:t>Ministry planning unit users and sector focal points.</w:t>
      </w:r>
    </w:p>
    <w:p>
      <w:pPr>
        <w:pStyle w:val="ListBullet"/>
      </w:pPr>
      <w:r>
        <w:t>Read-only reviewers and external validation stakeholders.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WHO-AI-TZA-2026-03 | Annex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