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color w:val="1F4E79"/>
        </w:rPr>
        <w:t>Data, Security, Integration and Intellectual Property Requirements</w:t>
      </w:r>
    </w:p>
    <w:p>
      <w:pPr>
        <w:jc w:val="left"/>
      </w:pPr>
      <w:r>
        <w:rPr>
          <w:i/>
          <w:color w:val="595959"/>
          <w:sz w:val="20"/>
        </w:rPr>
        <w:t>WHO-AI-TZA-2026-03 | Annex B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592"/>
            <w:vAlign w:val="center"/>
            <w:shd w:fill="BFD7EE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sz w:val="19"/>
              </w:rPr>
              <w:t>Domain</w:t>
            </w:r>
          </w:p>
        </w:tc>
        <w:tc>
          <w:tcPr>
            <w:tcW w:type="dxa" w:w="7488"/>
            <w:vAlign w:val="center"/>
            <w:shd w:fill="BFD7EE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sz w:val="19"/>
              </w:rPr>
              <w:t>Requirement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7FB"/>
          </w:tcPr>
          <w:p>
            <w:r>
              <w:rPr>
                <w:sz w:val="18"/>
              </w:rPr>
              <w:t>Data protection</w:t>
            </w:r>
          </w:p>
        </w:tc>
        <w:tc>
          <w:tcPr>
            <w:tcW w:type="dxa" w:w="74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7FB"/>
          </w:tcPr>
          <w:p>
            <w:r>
              <w:rPr>
                <w:sz w:val="18"/>
              </w:rPr>
              <w:t>Role-based access, encryption in transit and at rest, and controlled access to planning datasets.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AI governance</w:t>
            </w:r>
          </w:p>
        </w:tc>
        <w:tc>
          <w:tcPr>
            <w:tcW w:type="dxa" w:w="74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Human review required before publication of AI-generated outputs; prompt and output logging for audit.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7FB"/>
          </w:tcPr>
          <w:p>
            <w:r>
              <w:rPr>
                <w:sz w:val="18"/>
              </w:rPr>
              <w:t>Integration</w:t>
            </w:r>
          </w:p>
        </w:tc>
        <w:tc>
          <w:tcPr>
            <w:tcW w:type="dxa" w:w="74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7FB"/>
          </w:tcPr>
          <w:p>
            <w:r>
              <w:rPr>
                <w:sz w:val="18"/>
              </w:rPr>
              <w:t>APIs or secure file exchange for indicator datasets and document repositories used in the planning process.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Security operations</w:t>
            </w:r>
          </w:p>
        </w:tc>
        <w:tc>
          <w:tcPr>
            <w:tcW w:type="dxa" w:w="74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Vulnerability remediation process, administrator MFA and monthly security review during implementation.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7FB"/>
          </w:tcPr>
          <w:p>
            <w:r>
              <w:rPr>
                <w:sz w:val="18"/>
              </w:rPr>
              <w:t>Intellectual property</w:t>
            </w:r>
          </w:p>
        </w:tc>
        <w:tc>
          <w:tcPr>
            <w:tcW w:type="dxa" w:w="74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7FB"/>
          </w:tcPr>
          <w:p>
            <w:r>
              <w:rPr>
                <w:sz w:val="18"/>
              </w:rPr>
              <w:t>Custom developments and project deliverables transferred to WHO upon full payment; contractor may retain background tools.</w:t>
            </w:r>
          </w:p>
        </w:tc>
      </w:tr>
    </w:tbl>
    <w:p/>
    <w:p>
      <w:pPr>
        <w:pStyle w:val="Heading1"/>
      </w:pPr>
      <w:r>
        <w:t>Hosting constraints</w:t>
      </w:r>
    </w:p>
    <w:p>
      <w:r>
        <w:t>The contractor may propose cloud-hosted or hybrid deployment provided the solution architecture clearly states the hosting jurisdiction, access controls, support model and data-handling responsibilities.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864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95959"/>
        <w:sz w:val="16"/>
      </w:rPr>
      <w:t xml:space="preserve">Documento ficticio de trabajo | Pagina </w:t>
    </w: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color w:val="595959"/>
        <w:sz w:val="17"/>
      </w:rPr>
      <w:t>WHO-AI-TZA-2026-03 | Annex B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1F4E79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