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F4E79"/>
        </w:rPr>
        <w:t>Evaluation Criteria</w:t>
      </w:r>
    </w:p>
    <w:p>
      <w:pPr>
        <w:jc w:val="left"/>
      </w:pPr>
      <w:r>
        <w:rPr>
          <w:i/>
          <w:color w:val="595959"/>
          <w:sz w:val="20"/>
        </w:rPr>
        <w:t>WHO-AI-TZA-2026-03 | Annex C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5184"/>
            <w:vAlign w:val="center"/>
            <w:shd w:fill="BFD7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1152"/>
            <w:vAlign w:val="center"/>
            <w:shd w:fill="BFD7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Weight</w:t>
            </w:r>
          </w:p>
        </w:tc>
        <w:tc>
          <w:tcPr>
            <w:tcW w:type="dxa" w:w="2880"/>
            <w:vAlign w:val="center"/>
            <w:shd w:fill="BFD7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Methodology and understanding of assignment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Fit to planning process and delivery approach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Relevant experience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Comparable digital health, analytics or planning assignments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Team composition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Appropriateness of key experts and level of effort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AI governance and security approach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Controls, transparency and data protection measures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Implementation timeline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Realism and sequencing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Financial proposal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Competitiveness and coherence</w:t>
            </w:r>
          </w:p>
        </w:tc>
      </w:tr>
    </w:tbl>
    <w:p/>
    <w:p>
      <w:pPr>
        <w:pStyle w:val="Heading1"/>
      </w:pPr>
      <w:r>
        <w:t>Technical threshold</w:t>
      </w:r>
    </w:p>
    <w:p>
      <w:r>
        <w:t>Only bidders reaching a minimum technical score of 70 points out of 100 will proceed to financial comparison.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Documento ficticio de trabajo | Pagina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95959"/>
        <w:sz w:val="17"/>
      </w:rPr>
      <w:t>WHO-AI-TZA-2026-03 | Annex 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