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Geographic and Institutional Eligibility</w:t>
      </w:r>
    </w:p>
    <w:p>
      <w:pPr>
        <w:jc w:val="left"/>
      </w:pPr>
      <w:r>
        <w:rPr>
          <w:i/>
          <w:color w:val="595959"/>
          <w:sz w:val="20"/>
        </w:rPr>
        <w:t>WHO-AI-TZA-2026-03 | Annex D</w:t>
      </w:r>
    </w:p>
    <w:p>
      <w:pPr>
        <w:pStyle w:val="Heading1"/>
      </w:pPr>
      <w:r>
        <w:t>Eligibility conditions</w:t>
      </w:r>
    </w:p>
    <w:p>
      <w:pPr>
        <w:pStyle w:val="ListBullet"/>
      </w:pPr>
      <w:r>
        <w:t>Bidders may be firms, consortia or legally registered entities able to contract with a UN organization.</w:t>
      </w:r>
    </w:p>
    <w:p>
      <w:pPr>
        <w:pStyle w:val="ListBullet"/>
      </w:pPr>
      <w:r>
        <w:t>A local implementation presence in East Africa is desirable but not mandatory where remote delivery and local coordination arrangements are demonstrated.</w:t>
      </w:r>
    </w:p>
    <w:p>
      <w:pPr>
        <w:pStyle w:val="ListBullet"/>
      </w:pPr>
      <w:r>
        <w:t>Entities under sanction, suspension or conflict of interest are ineligible.</w:t>
      </w:r>
    </w:p>
    <w:p>
      <w:pPr>
        <w:pStyle w:val="ListBullet"/>
      </w:pPr>
      <w:r>
        <w:t>Subcontracting is permitted with full disclosure of roles and responsibilities.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03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60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Certificate of incorporation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Tax registration or equivalent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Mandatory where applicable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UN supplier registration status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Preferred at time of submission; may be completed before award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Consortium agreement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Required if bidding as joint venture or consortium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WHO-AI-TZA-2026-03 | Annex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