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Internal Experience Note</w:t>
      </w:r>
    </w:p>
    <w:p>
      <w:pPr>
        <w:jc w:val="left"/>
      </w:pPr>
      <w:r>
        <w:rPr>
          <w:i/>
          <w:color w:val="595959"/>
          <w:sz w:val="20"/>
        </w:rPr>
        <w:t>Confidential | AI platforms, health analytics and strategic planning support</w:t>
      </w:r>
    </w:p>
    <w:p>
      <w:pPr>
        <w:pStyle w:val="Heading1"/>
      </w:pPr>
      <w:r>
        <w:t>Relevant delivery evidence</w:t>
      </w:r>
    </w:p>
    <w:p>
      <w:r>
        <w:t>The following references are internal summaries of assignments that may support capability positioning for health-sector planning and AI-enabled analytics workflows.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Reference</w:t>
            </w:r>
          </w:p>
        </w:tc>
        <w:tc>
          <w:tcPr>
            <w:tcW w:type="dxa" w:w="3744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Scope</w:t>
            </w:r>
          </w:p>
        </w:tc>
        <w:tc>
          <w:tcPr>
            <w:tcW w:type="dxa" w:w="1584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Sector</w:t>
            </w:r>
          </w:p>
        </w:tc>
        <w:tc>
          <w:tcPr>
            <w:tcW w:type="dxa" w:w="2304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Delivery signal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Planning analytics workspace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Data model, dashboards and collaboration workflow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Public health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Used by 120 analysts across national and regional units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AI insight assistant pilot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Summarization and recommendation support with approval workflow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Social policy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Reduced draft synthesis cycle from 10 days to 3 days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Strategy portal modernization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Repository, workflow and governance redesign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Cross-ministry planning pack automation</w:t>
            </w:r>
          </w:p>
        </w:tc>
      </w:tr>
    </w:tbl>
    <w:p/>
    <w:p>
      <w:pPr>
        <w:pStyle w:val="Heading1"/>
      </w:pPr>
      <w:r>
        <w:t>Reusable strengths</w:t>
      </w:r>
    </w:p>
    <w:p>
      <w:pPr>
        <w:pStyle w:val="ListBullet"/>
      </w:pPr>
      <w:r>
        <w:t>Experience in Microsoft stack, secure application design and analytics-oriented workflows.</w:t>
      </w:r>
    </w:p>
    <w:p>
      <w:pPr>
        <w:pStyle w:val="ListBullet"/>
      </w:pPr>
      <w:r>
        <w:t>Human-in-the-loop governance patterns for AI-assisted drafting and review.</w:t>
      </w:r>
    </w:p>
    <w:p>
      <w:pPr>
        <w:pStyle w:val="ListBullet"/>
      </w:pPr>
      <w:r>
        <w:t>Discovery facilitation, UX research and service design inputs for complex public-sector users.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Confidential | AI platforms, health analytics and strategic planning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