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报表地址：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instrText xml:space="preserve"> HYPERLINK "http://192.25.103.250:8080/XYBI/ReportServer?reportlet=%5B5f00%5D%5B53d1%5D%5B6d4b%5D%5B8bd5%5D%2FLEVEL2%5B4ea4%5D%5B6613%5D%5B660e%5D%5B7ec6%5D.cpt&amp;fr_check_url=ThuJun1409:11:05CST2018&amp;id=18275424-d8cf-4c7c-a496-1c967848872b" </w:instrTex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http://192.25.103.250:8080/XYBI/ReportServer?reportlet=%5B5f00%5D%5B53d1%5D%5B6d4b%5D%5B8bd5%5D%2FLEVEL2%5B4ea4%5D%5B6613%5D%5B660e%5D%5B7ec6%5D.cpt&amp;fr_check_url=ThuJun1409:11:05CST2018&amp;id=18275424-d8cf-4c7c-a496-1c967848872b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问题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测试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LEVEL2交易明细在数据库的查询结果和帆软所展示的结果是否同步且一致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设计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编写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SQL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脚本，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将数据库查询的计数（分不同时间区间）和导出帆软查询结果的统计计数进行对比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测试过程及结果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404040" w:themeColor="text1" w:themeTint="BF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404040" w:themeColor="text1" w:themeTint="BF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统计LEVEL2明细在20180601到20180607区间内的明细计数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</w:rPr>
        <w:t>SELECT count(1)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FROM dba.T_EDW_LC_T_PRODUCT_LEVEL2_ORDER_HIS 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LEFT JOIN DM.T_PUB_CUST b ON a.pay_account = b.main_cptl_acct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        and b.year || b.mth = (select max(year||mth)from  DM.T_PUB_CUST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WHERE SERVICE_TYPE != '2'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AND convert(int, replace(a.pay_day, '-', '')) between 20180601 and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20180607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t>结果：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09675" cy="619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Chars="0" w:right="0" w:right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04040" w:themeColor="text1" w:themeTint="BF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04040" w:themeColor="text1" w:themeTint="BF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统计帆软查询结果导出的记录数：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05450" cy="1972945"/>
            <wp:effectExtent l="0" t="0" r="0" b="825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972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404040" w:themeColor="text1" w:themeTint="BF"/>
          <w:kern w:val="0"/>
          <w:sz w:val="21"/>
          <w:szCs w:val="21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kern w:val="0"/>
          <w:sz w:val="21"/>
          <w:szCs w:val="21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结论：在前端展示和后端数据源对比后，他们的结果同步且一致。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color w:val="404040" w:themeColor="text1" w:themeTint="BF"/>
          <w:kern w:val="0"/>
          <w:sz w:val="21"/>
          <w:szCs w:val="21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404040" w:themeColor="text1" w:themeTint="BF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统计LEVEL2明细在20180607到20180607区间内的明细计数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</w:rPr>
        <w:t>SELECT count(1)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FROM dba.T_EDW_LC_T_PRODUCT_LEVEL2_ORDER_HIS 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LEFT JOIN DM.T_PUB_CUST b ON a.pay_account = b.main_cptl_acct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        and b.year || b.mth = (select max(year||mth)from  DM.T_PUB_CUST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WHERE SERVICE_TYPE != '2'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AND convert(int, replace(a.pay_day, '-', '')) between 2018060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7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and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20180607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t>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14425" cy="552450"/>
            <wp:effectExtent l="0" t="0" r="9525" b="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Chars="0" w:right="0" w:right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04040" w:themeColor="text1" w:themeTint="BF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04040" w:themeColor="text1" w:themeTint="BF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统计帆软查询结果导出的记录数：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95650" cy="1221105"/>
            <wp:effectExtent l="0" t="0" r="0" b="1714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2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404040" w:themeColor="text1" w:themeTint="BF"/>
          <w:kern w:val="0"/>
          <w:sz w:val="21"/>
          <w:szCs w:val="21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kern w:val="0"/>
          <w:sz w:val="21"/>
          <w:szCs w:val="21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结论：在前端展示和后端数据源对比后，他们的结果同步且一致。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Chars="0" w:right="0" w:rightChars="0"/>
        <w:jc w:val="both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9AB8CE"/>
    <w:multiLevelType w:val="singleLevel"/>
    <w:tmpl w:val="BD9AB8C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4308F6"/>
    <w:rsid w:val="307A5E28"/>
    <w:rsid w:val="7F605330"/>
    <w:rsid w:val="7FCB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2018-06-14T01:57:55Z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