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微软雅黑" w:hAnsi="微软雅黑" w:eastAsia="微软雅黑"/>
          <w:b/>
          <w:color w:val="000000"/>
          <w:sz w:val="44"/>
        </w:rPr>
        <w:t>羽毛球项目自采数据采集要求</w:t>
      </w:r>
    </w:p>
    <w:p>
      <w:pPr>
        <w:spacing w:after="240" w:before="0"/>
      </w:pPr>
      <w:r>
        <w:rPr>
          <w:rFonts w:ascii="微软雅黑" w:hAnsi="微软雅黑" w:eastAsia="微软雅黑"/>
          <w:b w:val="0"/>
          <w:color w:val="595959"/>
          <w:sz w:val="19"/>
        </w:rPr>
        <w:t>版本 1.0 · 2026-10-11</w:t>
      </w:r>
    </w:p>
    <w:p>
      <w:pPr>
        <w:spacing w:after="200" w:before="0"/>
      </w:pPr>
      <w:r>
        <w:rPr>
          <w:rFonts w:ascii="微软雅黑" w:hAnsi="微软雅黑" w:eastAsia="微软雅黑"/>
          <w:b w:val="0"/>
          <w:color w:val="000000"/>
          <w:sz w:val="22"/>
        </w:rPr>
        <w:t>本文档用于指导自采数据的搜索、剪辑、拍摄与标注。自采数据分为两类：专业运动员标准库，用于建立标准动作与角度范围；初学者验证数据，用于验证评分规则与纠错建议。当前阶段不要求实拍，可从网络视频中选取片段或剪辑已有视频，网上视频多为正侧面角度，选取时按本文要求如实记录视角。</w:t>
      </w:r>
    </w:p>
    <w:p>
      <w:pPr>
        <w:pStyle w:val="Heading1"/>
      </w:pPr>
      <w:r>
        <w:t>一、动作类型清单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000000"/>
          <w:sz w:val="22"/>
        </w:rPr>
        <w:t>以下 7 类动作是首期需要采集的动作类型，全部采集：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680"/>
            <w:vAlign w:val="center"/>
            <w:shd w:val="clear" w:color="auto" w:fill="2E539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1814"/>
            <w:vAlign w:val="center"/>
            <w:shd w:val="clear" w:color="auto" w:fill="2E539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动作类型</w:t>
            </w:r>
          </w:p>
        </w:tc>
        <w:tc>
          <w:tcPr>
            <w:tcW w:type="dxa" w:w="1757"/>
            <w:vAlign w:val="center"/>
            <w:shd w:val="clear" w:color="auto" w:fill="2E539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标准库建议数量</w:t>
            </w:r>
          </w:p>
        </w:tc>
        <w:tc>
          <w:tcPr>
            <w:tcW w:type="dxa" w:w="1757"/>
            <w:vAlign w:val="center"/>
            <w:shd w:val="clear" w:color="auto" w:fill="2E539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验证数据建议数量</w:t>
            </w:r>
          </w:p>
        </w:tc>
        <w:tc>
          <w:tcPr>
            <w:tcW w:type="dxa" w:w="3402"/>
            <w:vAlign w:val="center"/>
            <w:shd w:val="clear" w:color="auto" w:fill="2E539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验证数据典型错误示例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正手发高远球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20–50 条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50 条以上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抛球不稳、击球点过低、挥拍不完整</w:t>
            </w:r>
          </w:p>
        </w:tc>
      </w:tr>
      <w:tr>
        <w:tc>
          <w:tcPr>
            <w:tcW w:type="dxa" w:w="680"/>
            <w:vAlign w:val="center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反手发网前小球</w:t>
            </w:r>
          </w:p>
        </w:tc>
        <w:tc>
          <w:tcPr>
            <w:tcW w:type="dxa" w:w="1757"/>
            <w:vAlign w:val="center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20–50 条</w:t>
            </w:r>
          </w:p>
        </w:tc>
        <w:tc>
          <w:tcPr>
            <w:tcW w:type="dxa" w:w="1757"/>
            <w:vAlign w:val="center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50 条以上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拍面过高、出球过高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高远球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20–50 条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50 条以上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击球点靠后、不抬肘、翻腕</w:t>
            </w:r>
          </w:p>
        </w:tc>
      </w:tr>
      <w:tr>
        <w:tc>
          <w:tcPr>
            <w:tcW w:type="dxa" w:w="680"/>
            <w:vAlign w:val="center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杀球</w:t>
            </w:r>
          </w:p>
        </w:tc>
        <w:tc>
          <w:tcPr>
            <w:tcW w:type="dxa" w:w="1757"/>
            <w:vAlign w:val="center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20–50 条</w:t>
            </w:r>
          </w:p>
        </w:tc>
        <w:tc>
          <w:tcPr>
            <w:tcW w:type="dxa" w:w="1757"/>
            <w:vAlign w:val="center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50 条以上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击球点偏低、压腕过早、重心后仰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吊球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20–50 条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50 条以上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拍面控制差、击球点不稳定</w:t>
            </w:r>
          </w:p>
        </w:tc>
      </w:tr>
      <w:tr>
        <w:tc>
          <w:tcPr>
            <w:tcW w:type="dxa" w:w="680"/>
            <w:vAlign w:val="center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挑球</w:t>
            </w:r>
          </w:p>
        </w:tc>
        <w:tc>
          <w:tcPr>
            <w:tcW w:type="dxa" w:w="1757"/>
            <w:vAlign w:val="center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20–50 条</w:t>
            </w:r>
          </w:p>
        </w:tc>
        <w:tc>
          <w:tcPr>
            <w:tcW w:type="dxa" w:w="1757"/>
            <w:vAlign w:val="center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50 条以上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屈肘发力、挑球高度不足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搓球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20–50 条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50 条以上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拍面太平、手腕僵硬、触球过重</w:t>
            </w:r>
          </w:p>
        </w:tc>
      </w:tr>
    </w:tbl>
    <w:p>
      <w:pPr>
        <w:spacing w:after="40" w:before="0"/>
      </w:pPr>
      <w:r>
        <w:rPr>
          <w:rFonts w:ascii="微软雅黑" w:hAnsi="微软雅黑" w:eastAsia="微软雅黑"/>
          <w:b w:val="0"/>
          <w:color w:val="000000"/>
          <w:sz w:val="22"/>
        </w:rPr>
      </w:r>
    </w:p>
    <w:p>
      <w:pPr>
        <w:pStyle w:val="Heading1"/>
      </w:pPr>
      <w:r>
        <w:t>二、拍摄设备与设置</w:t>
      </w:r>
    </w:p>
    <w:p>
      <w:pPr>
        <w:spacing w:after="60" w:before="0"/>
      </w:pPr>
      <w:r>
        <w:rPr>
          <w:rFonts w:ascii="微软雅黑" w:hAnsi="微软雅黑" w:eastAsia="微软雅黑"/>
          <w:b w:val="0"/>
          <w:color w:val="000000"/>
          <w:sz w:val="22"/>
        </w:rPr>
        <w:t>□  使用单摄像头分视角拍摄：同一动作分别拍正面与侧面各一遍，视角与系统部署时保持一致。</w:t>
      </w:r>
    </w:p>
    <w:p>
      <w:pPr>
        <w:spacing w:after="60" w:before="0"/>
      </w:pPr>
      <w:r>
        <w:rPr>
          <w:rFonts w:ascii="微软雅黑" w:hAnsi="微软雅黑" w:eastAsia="微软雅黑"/>
          <w:b w:val="0"/>
          <w:color w:val="000000"/>
          <w:sz w:val="22"/>
        </w:rPr>
        <w:t>□  网上视频多为正侧面（斜侧）角度，选片时优先选择能清楚看到全身的正面或侧面机位；正侧面角度也可采用，但需在标注中如实记录视角。</w:t>
      </w:r>
    </w:p>
    <w:p>
      <w:pPr>
        <w:spacing w:after="60" w:before="0"/>
      </w:pPr>
      <w:r>
        <w:rPr>
          <w:rFonts w:ascii="微软雅黑" w:hAnsi="微软雅黑" w:eastAsia="微软雅黑"/>
          <w:b w:val="0"/>
          <w:color w:val="000000"/>
          <w:sz w:val="22"/>
        </w:rPr>
        <w:t>□  全身入镜，头顶与脚下各留出余量，动作全过程不跑出画面。</w:t>
      </w:r>
    </w:p>
    <w:p>
      <w:pPr>
        <w:spacing w:after="60" w:before="0"/>
      </w:pPr>
      <w:r>
        <w:rPr>
          <w:rFonts w:ascii="微软雅黑" w:hAnsi="微软雅黑" w:eastAsia="微软雅黑"/>
          <w:b w:val="0"/>
          <w:color w:val="000000"/>
          <w:sz w:val="22"/>
        </w:rPr>
        <w:t>□  分辨率 720p 或 1080p，帧率 30fps 起步，不低于 25fps。</w:t>
      </w:r>
    </w:p>
    <w:p>
      <w:pPr>
        <w:spacing w:after="60" w:before="0"/>
      </w:pPr>
      <w:r>
        <w:rPr>
          <w:rFonts w:ascii="微软雅黑" w:hAnsi="微软雅黑" w:eastAsia="微软雅黑"/>
          <w:b w:val="0"/>
          <w:color w:val="000000"/>
          <w:sz w:val="22"/>
        </w:rPr>
        <w:t>□  室内球场优先，光线均匀、背景简洁，避免逆光、强阴影与镜面反光。</w:t>
      </w:r>
    </w:p>
    <w:p>
      <w:pPr>
        <w:spacing w:after="60" w:before="0"/>
      </w:pPr>
      <w:r>
        <w:rPr>
          <w:rFonts w:ascii="微软雅黑" w:hAnsi="微软雅黑" w:eastAsia="微软雅黑"/>
          <w:b w:val="0"/>
          <w:color w:val="000000"/>
          <w:sz w:val="22"/>
        </w:rPr>
        <w:t>□  无需两路画面硬件同步，但同一动作的正面与侧面视频需按动作成对保存。</w:t>
      </w:r>
    </w:p>
    <w:p>
      <w:pPr>
        <w:pStyle w:val="Heading1"/>
      </w:pPr>
      <w:r>
        <w:t>三、视频内容要求</w:t>
      </w:r>
    </w:p>
    <w:p>
      <w:pPr>
        <w:spacing w:after="60" w:before="0"/>
      </w:pPr>
      <w:r>
        <w:rPr>
          <w:rFonts w:ascii="微软雅黑" w:hAnsi="微软雅黑" w:eastAsia="微软雅黑"/>
          <w:b w:val="0"/>
          <w:color w:val="000000"/>
          <w:sz w:val="22"/>
        </w:rPr>
        <w:t>□  每条视频只录一个完整动作，覆盖引拍、击球、收拍、回位全过程。</w:t>
      </w:r>
    </w:p>
    <w:p>
      <w:pPr>
        <w:spacing w:after="60" w:before="0"/>
      </w:pPr>
      <w:r>
        <w:rPr>
          <w:rFonts w:ascii="微软雅黑" w:hAnsi="微软雅黑" w:eastAsia="微软雅黑"/>
          <w:b w:val="0"/>
          <w:color w:val="000000"/>
          <w:sz w:val="22"/>
        </w:rPr>
        <w:t>□  标准库视频为专业或高水平选手的规范动作。</w:t>
      </w:r>
    </w:p>
    <w:p>
      <w:pPr>
        <w:spacing w:after="60" w:before="0"/>
      </w:pPr>
      <w:r>
        <w:rPr>
          <w:rFonts w:ascii="微软雅黑" w:hAnsi="微软雅黑" w:eastAsia="微软雅黑"/>
          <w:b w:val="0"/>
          <w:color w:val="000000"/>
          <w:sz w:val="22"/>
        </w:rPr>
        <w:t>□  验证数据每类动作需同时包含正确示范与典型错误，错误样例尽量覆盖常见问题。</w:t>
      </w:r>
    </w:p>
    <w:p>
      <w:pPr>
        <w:spacing w:after="60" w:before="0"/>
      </w:pPr>
      <w:r>
        <w:rPr>
          <w:rFonts w:ascii="微软雅黑" w:hAnsi="微软雅黑" w:eastAsia="微软雅黑"/>
          <w:b w:val="0"/>
          <w:color w:val="000000"/>
          <w:sz w:val="22"/>
        </w:rPr>
        <w:t>□  从网络视频截取时，优先选择动作清晰、无遮挡、单人的片段，并保留完整挥拍过程。</w:t>
      </w:r>
    </w:p>
    <w:p>
      <w:pPr>
        <w:spacing w:after="60" w:before="0"/>
      </w:pPr>
      <w:r>
        <w:rPr>
          <w:rFonts w:ascii="微软雅黑" w:hAnsi="微软雅黑" w:eastAsia="微软雅黑"/>
          <w:b w:val="0"/>
          <w:color w:val="000000"/>
          <w:sz w:val="22"/>
        </w:rPr>
        <w:t>□  网络视频视角多为正侧面，截取后需在标注中注明实际视角，避免与正面、侧面数据混淆。</w:t>
      </w:r>
    </w:p>
    <w:p>
      <w:pPr>
        <w:pStyle w:val="Heading1"/>
      </w:pPr>
      <w:r>
        <w:t>四、数量与人员要求</w:t>
      </w:r>
    </w:p>
    <w:p>
      <w:pPr>
        <w:spacing w:after="60" w:before="0"/>
      </w:pPr>
      <w:r>
        <w:rPr>
          <w:rFonts w:ascii="微软雅黑" w:hAnsi="微软雅黑" w:eastAsia="微软雅黑"/>
          <w:b w:val="0"/>
          <w:color w:val="000000"/>
          <w:sz w:val="22"/>
        </w:rPr>
        <w:t>□  标准库：专业或高水平选手，每类动作 20–50 条起步。</w:t>
      </w:r>
    </w:p>
    <w:p>
      <w:pPr>
        <w:spacing w:after="60" w:before="0"/>
      </w:pPr>
      <w:r>
        <w:rPr>
          <w:rFonts w:ascii="微软雅黑" w:hAnsi="微软雅黑" w:eastAsia="微软雅黑"/>
          <w:b w:val="0"/>
          <w:color w:val="000000"/>
          <w:sz w:val="22"/>
        </w:rPr>
        <w:t>□  验证数据：初学者或普通爱好者，覆盖不同水平、性别与身高，每类 50 条以上更稳。</w:t>
      </w:r>
    </w:p>
    <w:p>
      <w:pPr>
        <w:spacing w:after="60" w:before="0"/>
      </w:pPr>
      <w:r>
        <w:rPr>
          <w:rFonts w:ascii="微软雅黑" w:hAnsi="微软雅黑" w:eastAsia="微软雅黑"/>
          <w:b w:val="0"/>
          <w:color w:val="000000"/>
          <w:sz w:val="22"/>
        </w:rPr>
        <w:t>□  验证数据中正确示范与典型错误的比例建议约为 1:1。</w:t>
      </w:r>
    </w:p>
    <w:p>
      <w:pPr>
        <w:pStyle w:val="Heading1"/>
      </w:pPr>
      <w:r>
        <w:t>五、标注要求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000000"/>
          <w:sz w:val="22"/>
        </w:rPr>
        <w:t>每条数据按以下字段标注：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3137"/>
        <w:gridCol w:w="3137"/>
        <w:gridCol w:w="3137"/>
      </w:tblGrid>
      <w:tr>
        <w:tc>
          <w:tcPr>
            <w:tcW w:type="dxa" w:w="1928"/>
            <w:vAlign w:val="center"/>
            <w:shd w:val="clear" w:color="auto" w:fill="2E539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5102"/>
            <w:vAlign w:val="center"/>
            <w:shd w:val="clear" w:color="auto" w:fill="2E539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2154"/>
            <w:vAlign w:val="center"/>
            <w:shd w:val="clear" w:color="auto" w:fill="2E539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是否必填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动作类型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7 类动作之一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必填</w:t>
            </w:r>
          </w:p>
        </w:tc>
      </w:tr>
      <w:tr>
        <w:tc>
          <w:tcPr>
            <w:tcW w:type="dxa" w:w="1928"/>
            <w:vAlign w:val="center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视角</w:t>
            </w:r>
          </w:p>
        </w:tc>
        <w:tc>
          <w:tcPr>
            <w:tcW w:type="dxa" w:w="5102"/>
            <w:vAlign w:val="center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正面 / 侧面 / 正侧面，如实记录</w:t>
            </w:r>
          </w:p>
        </w:tc>
        <w:tc>
          <w:tcPr>
            <w:tcW w:type="dxa" w:w="2154"/>
            <w:vAlign w:val="center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必填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击球帧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击球瞬间的帧号或时间点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建议</w:t>
            </w:r>
          </w:p>
        </w:tc>
      </w:tr>
      <w:tr>
        <w:tc>
          <w:tcPr>
            <w:tcW w:type="dxa" w:w="1928"/>
            <w:vAlign w:val="center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关键错误</w:t>
            </w:r>
          </w:p>
        </w:tc>
        <w:tc>
          <w:tcPr>
            <w:tcW w:type="dxa" w:w="5102"/>
            <w:vAlign w:val="center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命中的具体错误</w:t>
            </w:r>
          </w:p>
        </w:tc>
        <w:tc>
          <w:tcPr>
            <w:tcW w:type="dxa" w:w="2154"/>
            <w:vAlign w:val="center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验证数据必填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质量档位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规范 / 一般 / 错误明显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验证数据必填</w:t>
            </w:r>
          </w:p>
        </w:tc>
      </w:tr>
      <w:tr>
        <w:tc>
          <w:tcPr>
            <w:tcW w:type="dxa" w:w="1928"/>
            <w:vAlign w:val="center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人员信息</w:t>
            </w:r>
          </w:p>
        </w:tc>
        <w:tc>
          <w:tcPr>
            <w:tcW w:type="dxa" w:w="5102"/>
            <w:vAlign w:val="center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水平、性别、身高</w:t>
            </w:r>
          </w:p>
        </w:tc>
        <w:tc>
          <w:tcPr>
            <w:tcW w:type="dxa" w:w="2154"/>
            <w:vAlign w:val="center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建议</w:t>
            </w:r>
          </w:p>
        </w:tc>
      </w:tr>
    </w:tbl>
    <w:p>
      <w:pPr>
        <w:spacing w:after="40" w:before="0"/>
      </w:pPr>
      <w:r>
        <w:rPr>
          <w:rFonts w:ascii="微软雅黑" w:hAnsi="微软雅黑" w:eastAsia="微软雅黑"/>
          <w:b w:val="0"/>
          <w:color w:val="000000"/>
          <w:sz w:val="22"/>
        </w:rPr>
      </w:r>
    </w:p>
    <w:p>
      <w:pPr>
        <w:pStyle w:val="Heading1"/>
      </w:pPr>
      <w:r>
        <w:t>六、文件命名与组织</w:t>
      </w:r>
    </w:p>
    <w:p>
      <w:pPr>
        <w:spacing w:after="60" w:before="0"/>
      </w:pPr>
      <w:r>
        <w:rPr>
          <w:rFonts w:ascii="微软雅黑" w:hAnsi="微软雅黑" w:eastAsia="微软雅黑"/>
          <w:b w:val="0"/>
          <w:color w:val="000000"/>
          <w:sz w:val="22"/>
        </w:rPr>
        <w:t>□  统一格式 MP4，命名规则：动作类型_人员编号_正确或错误_错误标签_序号，例如 高远球_p03_错误_击球点靠后_01.mp4。</w:t>
      </w:r>
    </w:p>
    <w:p>
      <w:pPr>
        <w:spacing w:after="60" w:before="0"/>
      </w:pPr>
      <w:r>
        <w:rPr>
          <w:rFonts w:ascii="微软雅黑" w:hAnsi="微软雅黑" w:eastAsia="微软雅黑"/>
          <w:b w:val="0"/>
          <w:color w:val="000000"/>
          <w:sz w:val="22"/>
        </w:rPr>
        <w:t>□  正面与侧面两段用同一命名并加后缀 _front / _side 成对保存。</w:t>
      </w:r>
    </w:p>
    <w:p>
      <w:pPr>
        <w:spacing w:after="60" w:before="0"/>
      </w:pPr>
      <w:r>
        <w:rPr>
          <w:rFonts w:ascii="微软雅黑" w:hAnsi="微软雅黑" w:eastAsia="微软雅黑"/>
          <w:b w:val="0"/>
          <w:color w:val="000000"/>
          <w:sz w:val="22"/>
        </w:rPr>
        <w:t>□  标注信息可另存为同名 CSV 或 Excel 文件，字段与第五节一致。</w:t>
      </w:r>
    </w:p>
    <w:p>
      <w:pPr>
        <w:pStyle w:val="Heading1"/>
      </w:pPr>
      <w:r>
        <w:t>七、交付前自查</w:t>
      </w:r>
    </w:p>
    <w:p>
      <w:pPr>
        <w:spacing w:after="60" w:before="0"/>
      </w:pPr>
      <w:r>
        <w:rPr>
          <w:rFonts w:ascii="微软雅黑" w:hAnsi="微软雅黑" w:eastAsia="微软雅黑"/>
          <w:b w:val="0"/>
          <w:color w:val="000000"/>
          <w:sz w:val="22"/>
        </w:rPr>
        <w:t>□  画面是否全身可见、无抖动与模糊。</w:t>
      </w:r>
    </w:p>
    <w:p>
      <w:pPr>
        <w:spacing w:after="60" w:before="0"/>
      </w:pPr>
      <w:r>
        <w:rPr>
          <w:rFonts w:ascii="微软雅黑" w:hAnsi="微软雅黑" w:eastAsia="微软雅黑"/>
          <w:b w:val="0"/>
          <w:color w:val="000000"/>
          <w:sz w:val="22"/>
        </w:rPr>
        <w:t>□  动作是否完整（引拍到回位）。</w:t>
      </w:r>
    </w:p>
    <w:p>
      <w:pPr>
        <w:spacing w:after="60" w:before="0"/>
      </w:pPr>
      <w:r>
        <w:rPr>
          <w:rFonts w:ascii="微软雅黑" w:hAnsi="微软雅黑" w:eastAsia="微软雅黑"/>
          <w:b w:val="0"/>
          <w:color w:val="000000"/>
          <w:sz w:val="22"/>
        </w:rPr>
        <w:t>□  正面与侧面是否成对。</w:t>
      </w:r>
    </w:p>
    <w:p>
      <w:pPr>
        <w:spacing w:after="60" w:before="0"/>
      </w:pPr>
      <w:r>
        <w:rPr>
          <w:rFonts w:ascii="微软雅黑" w:hAnsi="微软雅黑" w:eastAsia="微软雅黑"/>
          <w:b w:val="0"/>
          <w:color w:val="000000"/>
          <w:sz w:val="22"/>
        </w:rPr>
        <w:t>□  视角是否如实记录（正面 / 侧面 / 正侧面）。</w:t>
      </w:r>
    </w:p>
    <w:p>
      <w:pPr>
        <w:spacing w:after="60" w:before="0"/>
      </w:pPr>
      <w:r>
        <w:rPr>
          <w:rFonts w:ascii="微软雅黑" w:hAnsi="微软雅黑" w:eastAsia="微软雅黑"/>
          <w:b w:val="0"/>
          <w:color w:val="000000"/>
          <w:sz w:val="22"/>
        </w:rPr>
        <w:t>□  标注字段是否齐全、命名是否规范。</w:t>
      </w:r>
    </w:p>
    <w:p>
      <w:pPr>
        <w:pStyle w:val="Heading1"/>
      </w:pPr>
      <w:r>
        <w:t>八、网上资源清单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000000"/>
          <w:sz w:val="22"/>
        </w:rPr>
        <w:t>以下资源用于检索标准库示范与验证数据素材。教学视频仅供内部学习与研究使用，商用或公开传播需另行取得授权。</w:t>
      </w:r>
    </w:p>
    <w:p>
      <w:pPr>
        <w:pStyle w:val="Heading2"/>
      </w:pPr>
      <w:r>
        <w:t>标准库（权威示范）</w:t>
      </w:r>
    </w:p>
    <w:p>
      <w:pPr>
        <w:spacing w:after="40" w:before="0"/>
      </w:pPr>
      <w:r>
        <w:rPr>
          <w:rFonts w:ascii="微软雅黑" w:hAnsi="微软雅黑" w:eastAsia="微软雅黑"/>
          <w:b w:val="0"/>
          <w:color w:val="000000"/>
          <w:sz w:val="22"/>
        </w:rPr>
        <w:t xml:space="preserve">□  国家高等教育智慧教育平台《羽毛球基本技术训练》课程  </w:t>
      </w:r>
      <w:hyperlink r:id="rId9">
        <w:r>
          <w:rPr>
            <w:rFonts w:ascii="微软雅黑" w:hAnsi="微软雅黑" w:eastAsia="微软雅黑"/>
            <w:color w:val="0563C1"/>
            <w:u w:val="single"/>
            <w:sz w:val="21"/>
          </w:rPr>
          <w:t xml:space="preserve">https://higher.smartedu.cn/course/69052e285345b68214577368</w:t>
        </w:r>
      </w:hyperlink>
    </w:p>
    <w:p>
      <w:pPr>
        <w:spacing w:after="40" w:before="0"/>
      </w:pPr>
      <w:r>
        <w:rPr>
          <w:rFonts w:ascii="微软雅黑" w:hAnsi="微软雅黑" w:eastAsia="微软雅黑"/>
          <w:b w:val="0"/>
          <w:color w:val="000000"/>
          <w:sz w:val="22"/>
        </w:rPr>
        <w:t xml:space="preserve">□  BWF Shuttle Time 官方教学（每个技术动作配有示范视频）  </w:t>
      </w:r>
      <w:hyperlink r:id="rId10">
        <w:r>
          <w:rPr>
            <w:rFonts w:ascii="微软雅黑" w:hAnsi="微软雅黑" w:eastAsia="微软雅黑"/>
            <w:color w:val="0563C1"/>
            <w:u w:val="single"/>
            <w:sz w:val="21"/>
          </w:rPr>
          <w:t xml:space="preserve">https://www.bwfbadminton.org</w:t>
        </w:r>
      </w:hyperlink>
    </w:p>
    <w:p>
      <w:pPr>
        <w:spacing w:after="40" w:before="0"/>
      </w:pPr>
      <w:r>
        <w:rPr>
          <w:rFonts w:ascii="微软雅黑" w:hAnsi="微软雅黑" w:eastAsia="微软雅黑"/>
          <w:b w:val="0"/>
          <w:color w:val="000000"/>
          <w:sz w:val="22"/>
        </w:rPr>
        <w:t xml:space="preserve">□  《羽毛球专家把脉》赵剑华、肖杰教学（优酷播单）  </w:t>
      </w:r>
      <w:hyperlink r:id="rId11">
        <w:r>
          <w:rPr>
            <w:rFonts w:ascii="微软雅黑" w:hAnsi="微软雅黑" w:eastAsia="微软雅黑"/>
            <w:color w:val="0563C1"/>
            <w:u w:val="single"/>
            <w:sz w:val="21"/>
          </w:rPr>
          <w:t xml:space="preserve">https://list.youku.com/albumlist/show/id_2184228.html</w:t>
        </w:r>
      </w:hyperlink>
    </w:p>
    <w:p>
      <w:pPr>
        <w:spacing w:after="40" w:before="0"/>
      </w:pPr>
      <w:r>
        <w:rPr>
          <w:rFonts w:ascii="微软雅黑" w:hAnsi="微软雅黑" w:eastAsia="微软雅黑"/>
          <w:b w:val="0"/>
          <w:color w:val="000000"/>
          <w:sz w:val="22"/>
        </w:rPr>
        <w:t xml:space="preserve">□  陈伟华羽毛球教学（优酷播单）  </w:t>
      </w:r>
      <w:hyperlink r:id="rId12">
        <w:r>
          <w:rPr>
            <w:rFonts w:ascii="微软雅黑" w:hAnsi="微软雅黑" w:eastAsia="微软雅黑"/>
            <w:color w:val="0563C1"/>
            <w:u w:val="single"/>
            <w:sz w:val="21"/>
          </w:rPr>
          <w:t xml:space="preserve">https://list.youku.com/albumlist/show/id_20516030.html</w:t>
        </w:r>
      </w:hyperlink>
    </w:p>
    <w:p>
      <w:pPr>
        <w:pStyle w:val="Heading2"/>
      </w:pPr>
      <w:r>
        <w:t>验证数据素材</w:t>
      </w:r>
    </w:p>
    <w:p>
      <w:pPr>
        <w:spacing w:after="40" w:before="0"/>
      </w:pPr>
      <w:r>
        <w:rPr>
          <w:rFonts w:ascii="微软雅黑" w:hAnsi="微软雅黑" w:eastAsia="微软雅黑"/>
          <w:b w:val="0"/>
          <w:color w:val="000000"/>
          <w:sz w:val="22"/>
        </w:rPr>
        <w:t xml:space="preserve">□  BWF TV 官方频道（YouTube）  </w:t>
      </w:r>
      <w:hyperlink r:id="rId13">
        <w:r>
          <w:rPr>
            <w:rFonts w:ascii="微软雅黑" w:hAnsi="微软雅黑" w:eastAsia="微软雅黑"/>
            <w:color w:val="0563C1"/>
            <w:u w:val="single"/>
            <w:sz w:val="21"/>
          </w:rPr>
          <w:t xml:space="preserve">https://www.youtube.com/@bwftv</w:t>
        </w:r>
      </w:hyperlink>
    </w:p>
    <w:p>
      <w:pPr>
        <w:spacing w:after="40" w:before="0"/>
      </w:pPr>
      <w:r>
        <w:rPr>
          <w:rFonts w:ascii="微软雅黑" w:hAnsi="微软雅黑" w:eastAsia="微软雅黑"/>
          <w:b w:val="0"/>
          <w:color w:val="000000"/>
          <w:sz w:val="22"/>
        </w:rPr>
        <w:t xml:space="preserve">□  BWF 官网（赛事与教学入口）  </w:t>
      </w:r>
      <w:hyperlink r:id="rId10">
        <w:r>
          <w:rPr>
            <w:rFonts w:ascii="微软雅黑" w:hAnsi="微软雅黑" w:eastAsia="微软雅黑"/>
            <w:color w:val="0563C1"/>
            <w:u w:val="single"/>
            <w:sz w:val="21"/>
          </w:rPr>
          <w:t xml:space="preserve">https://www.bwfbadminton.org</w:t>
        </w:r>
      </w:hyperlink>
    </w:p>
    <w:p>
      <w:pPr>
        <w:spacing w:after="40" w:before="0"/>
      </w:pPr>
      <w:r>
        <w:rPr>
          <w:rFonts w:ascii="微软雅黑" w:hAnsi="微软雅黑" w:eastAsia="微软雅黑"/>
          <w:b w:val="0"/>
          <w:color w:val="000000"/>
          <w:sz w:val="22"/>
        </w:rPr>
        <w:t xml:space="preserve">□  哔哩哔哩 低视角/慢动作步伐与击球视频  </w:t>
      </w:r>
      <w:hyperlink r:id="rId14">
        <w:r>
          <w:rPr>
            <w:rFonts w:ascii="微软雅黑" w:hAnsi="微软雅黑" w:eastAsia="微软雅黑"/>
            <w:color w:val="0563C1"/>
            <w:u w:val="single"/>
            <w:sz w:val="21"/>
          </w:rPr>
          <w:t xml:space="preserve">https://www.bilibili.com/video/BV1j24y1A7zu/</w:t>
        </w:r>
      </w:hyperlink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higher.smartedu.cn/course/69052e285345b68214577368" TargetMode="External"/><Relationship Id="rId10" Type="http://schemas.openxmlformats.org/officeDocument/2006/relationships/hyperlink" Target="https://www.bwfbadminton.org" TargetMode="External"/><Relationship Id="rId11" Type="http://schemas.openxmlformats.org/officeDocument/2006/relationships/hyperlink" Target="https://list.youku.com/albumlist/show/id_2184228.html" TargetMode="External"/><Relationship Id="rId12" Type="http://schemas.openxmlformats.org/officeDocument/2006/relationships/hyperlink" Target="https://list.youku.com/albumlist/show/id_20516030.html" TargetMode="External"/><Relationship Id="rId13" Type="http://schemas.openxmlformats.org/officeDocument/2006/relationships/hyperlink" Target="https://www.youtube.com/@bwftv" TargetMode="External"/><Relationship Id="rId14" Type="http://schemas.openxmlformats.org/officeDocument/2006/relationships/hyperlink" Target="https://www.bilibili.com/video/BV1j24y1A7z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