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6B380" w14:textId="45742CAD" w:rsidR="00A62BE0" w:rsidRPr="00B9334B" w:rsidRDefault="00A62BE0" w:rsidP="00A62BE0">
      <w:pPr>
        <w:jc w:val="center"/>
        <w:rPr>
          <w:rFonts w:ascii="Times New Roman" w:eastAsia="Times New Roman" w:hAnsi="Times New Roman" w:cs="Times New Roman"/>
        </w:rPr>
      </w:pPr>
    </w:p>
    <w:p w14:paraId="0CE7851D" w14:textId="77777777" w:rsidR="00C8187A" w:rsidRDefault="00C8187A" w:rsidP="00A62BE0">
      <w:pPr>
        <w:spacing w:before="100" w:beforeAutospacing="1" w:after="100" w:afterAutospacing="1"/>
        <w:jc w:val="center"/>
        <w:rPr>
          <w:rFonts w:ascii="Arial" w:eastAsia="Times New Roman" w:hAnsi="Arial" w:cs="Arial"/>
          <w:b/>
          <w:bCs/>
          <w:sz w:val="28"/>
          <w:szCs w:val="28"/>
        </w:rPr>
      </w:pPr>
    </w:p>
    <w:p w14:paraId="424F8A24" w14:textId="77777777" w:rsidR="00C8187A" w:rsidRDefault="00C8187A" w:rsidP="00A62BE0">
      <w:pPr>
        <w:spacing w:before="100" w:beforeAutospacing="1" w:after="100" w:afterAutospacing="1"/>
        <w:jc w:val="center"/>
        <w:rPr>
          <w:rFonts w:ascii="Arial" w:eastAsia="Times New Roman" w:hAnsi="Arial" w:cs="Arial"/>
          <w:b/>
          <w:bCs/>
          <w:sz w:val="28"/>
          <w:szCs w:val="28"/>
        </w:rPr>
      </w:pPr>
    </w:p>
    <w:p w14:paraId="653D2A56" w14:textId="77777777" w:rsidR="00C8187A" w:rsidRDefault="00C8187A" w:rsidP="00A62BE0">
      <w:pPr>
        <w:spacing w:before="100" w:beforeAutospacing="1" w:after="100" w:afterAutospacing="1"/>
        <w:jc w:val="center"/>
        <w:rPr>
          <w:rFonts w:ascii="Arial" w:eastAsia="Times New Roman" w:hAnsi="Arial" w:cs="Arial"/>
          <w:b/>
          <w:bCs/>
          <w:sz w:val="28"/>
          <w:szCs w:val="28"/>
        </w:rPr>
      </w:pPr>
    </w:p>
    <w:p w14:paraId="18F0F3D8" w14:textId="0073602C" w:rsidR="00A62BE0" w:rsidRPr="0086234E" w:rsidRDefault="00A62BE0" w:rsidP="00A62BE0">
      <w:pPr>
        <w:spacing w:before="100" w:beforeAutospacing="1" w:after="100" w:afterAutospacing="1"/>
        <w:jc w:val="center"/>
        <w:rPr>
          <w:rFonts w:ascii="Arial" w:eastAsia="Times New Roman" w:hAnsi="Arial" w:cs="Arial"/>
          <w:sz w:val="32"/>
          <w:szCs w:val="32"/>
        </w:rPr>
      </w:pPr>
      <w:r w:rsidRPr="0086234E">
        <w:rPr>
          <w:rFonts w:ascii="Arial" w:eastAsia="Times New Roman" w:hAnsi="Arial" w:cs="Arial"/>
          <w:sz w:val="32"/>
          <w:szCs w:val="32"/>
        </w:rPr>
        <w:t>CV0001 Civil Engineering &amp; Sustainable Built Environment</w:t>
      </w:r>
    </w:p>
    <w:p w14:paraId="6EC75DBD" w14:textId="77777777" w:rsidR="00A62BE0" w:rsidRPr="00F55EFE" w:rsidRDefault="00A62BE0" w:rsidP="00A62BE0">
      <w:pPr>
        <w:spacing w:before="100" w:beforeAutospacing="1" w:after="100" w:afterAutospacing="1"/>
        <w:jc w:val="center"/>
        <w:rPr>
          <w:rFonts w:ascii="Arial" w:eastAsia="Times New Roman" w:hAnsi="Arial" w:cs="Arial"/>
          <w:b/>
          <w:bCs/>
          <w:sz w:val="40"/>
          <w:szCs w:val="40"/>
        </w:rPr>
      </w:pPr>
      <w:r w:rsidRPr="00C8187A">
        <w:rPr>
          <w:rFonts w:ascii="Arial" w:eastAsia="Times New Roman" w:hAnsi="Arial" w:cs="Arial"/>
          <w:b/>
          <w:bCs/>
          <w:sz w:val="44"/>
          <w:szCs w:val="44"/>
        </w:rPr>
        <w:t>Ne</w:t>
      </w:r>
      <w:r w:rsidRPr="00F55EFE">
        <w:rPr>
          <w:rFonts w:ascii="Arial" w:eastAsia="Times New Roman" w:hAnsi="Arial" w:cs="Arial"/>
          <w:b/>
          <w:bCs/>
          <w:sz w:val="40"/>
          <w:szCs w:val="40"/>
        </w:rPr>
        <w:t>eds for the Integration of Electric Vehicles in the Singaporean Context</w:t>
      </w:r>
    </w:p>
    <w:p w14:paraId="7DFF3986" w14:textId="77777777" w:rsidR="00F55EFE" w:rsidRDefault="00F55EFE" w:rsidP="00C8187A">
      <w:pPr>
        <w:spacing w:before="100" w:beforeAutospacing="1" w:after="100" w:afterAutospacing="1"/>
        <w:rPr>
          <w:rFonts w:ascii="Arial" w:eastAsia="Times New Roman" w:hAnsi="Arial" w:cs="Arial"/>
          <w:b/>
          <w:bCs/>
          <w:sz w:val="22"/>
          <w:szCs w:val="22"/>
        </w:rPr>
      </w:pPr>
    </w:p>
    <w:p w14:paraId="3F20FF34" w14:textId="77777777" w:rsidR="00F55EFE" w:rsidRDefault="00F55EFE" w:rsidP="00A62BE0">
      <w:pPr>
        <w:spacing w:before="100" w:beforeAutospacing="1" w:after="100" w:afterAutospacing="1"/>
        <w:jc w:val="center"/>
        <w:rPr>
          <w:rFonts w:ascii="Arial" w:eastAsia="Times New Roman" w:hAnsi="Arial" w:cs="Arial"/>
          <w:b/>
          <w:bCs/>
          <w:sz w:val="22"/>
          <w:szCs w:val="22"/>
        </w:rPr>
      </w:pPr>
    </w:p>
    <w:p w14:paraId="2ECFD241" w14:textId="77777777" w:rsidR="00F55EFE" w:rsidRDefault="00F55EFE" w:rsidP="00A62BE0">
      <w:pPr>
        <w:spacing w:before="100" w:beforeAutospacing="1" w:after="100" w:afterAutospacing="1"/>
        <w:jc w:val="center"/>
        <w:rPr>
          <w:rFonts w:ascii="Arial" w:eastAsia="Times New Roman" w:hAnsi="Arial" w:cs="Arial"/>
          <w:b/>
          <w:bCs/>
          <w:sz w:val="22"/>
          <w:szCs w:val="22"/>
        </w:rPr>
      </w:pPr>
    </w:p>
    <w:p w14:paraId="29E1B197" w14:textId="77777777" w:rsidR="00F55EFE" w:rsidRDefault="00F55EFE" w:rsidP="00A62BE0">
      <w:pPr>
        <w:spacing w:before="100" w:beforeAutospacing="1" w:after="100" w:afterAutospacing="1"/>
        <w:jc w:val="center"/>
        <w:rPr>
          <w:rFonts w:ascii="Arial" w:eastAsia="Times New Roman" w:hAnsi="Arial" w:cs="Arial"/>
          <w:b/>
          <w:bCs/>
          <w:sz w:val="22"/>
          <w:szCs w:val="22"/>
        </w:rPr>
      </w:pPr>
    </w:p>
    <w:p w14:paraId="49EB61A6" w14:textId="06904D36" w:rsidR="00F55EFE" w:rsidRDefault="00F55EFE" w:rsidP="00A62BE0">
      <w:pPr>
        <w:spacing w:before="100" w:beforeAutospacing="1" w:after="100" w:afterAutospacing="1"/>
        <w:jc w:val="center"/>
        <w:rPr>
          <w:rFonts w:ascii="Arial" w:eastAsia="Times New Roman" w:hAnsi="Arial" w:cs="Arial"/>
          <w:b/>
          <w:bCs/>
          <w:sz w:val="22"/>
          <w:szCs w:val="22"/>
        </w:rPr>
      </w:pPr>
    </w:p>
    <w:p w14:paraId="68EEBB8D" w14:textId="77777777" w:rsidR="00C8187A" w:rsidRDefault="00C8187A" w:rsidP="00A62BE0">
      <w:pPr>
        <w:spacing w:before="100" w:beforeAutospacing="1" w:after="100" w:afterAutospacing="1"/>
        <w:jc w:val="center"/>
        <w:rPr>
          <w:rFonts w:ascii="Arial" w:eastAsia="Times New Roman" w:hAnsi="Arial" w:cs="Arial"/>
          <w:b/>
          <w:bCs/>
          <w:sz w:val="22"/>
          <w:szCs w:val="22"/>
        </w:rPr>
      </w:pPr>
    </w:p>
    <w:p w14:paraId="41DD4BF5" w14:textId="77777777" w:rsidR="00F55EFE" w:rsidRDefault="00F55EFE" w:rsidP="00A62BE0">
      <w:pPr>
        <w:spacing w:before="100" w:beforeAutospacing="1" w:after="100" w:afterAutospacing="1"/>
        <w:jc w:val="center"/>
        <w:rPr>
          <w:rFonts w:ascii="Arial" w:eastAsia="Times New Roman" w:hAnsi="Arial" w:cs="Arial"/>
          <w:b/>
          <w:bCs/>
          <w:sz w:val="22"/>
          <w:szCs w:val="22"/>
        </w:rPr>
      </w:pPr>
    </w:p>
    <w:p w14:paraId="630C6A62" w14:textId="77777777" w:rsidR="00F55EFE" w:rsidRDefault="00F55EFE" w:rsidP="00A62BE0">
      <w:pPr>
        <w:spacing w:before="100" w:beforeAutospacing="1" w:after="100" w:afterAutospacing="1"/>
        <w:jc w:val="center"/>
        <w:rPr>
          <w:rFonts w:ascii="Arial" w:eastAsia="Times New Roman" w:hAnsi="Arial" w:cs="Arial"/>
          <w:b/>
          <w:bCs/>
          <w:sz w:val="22"/>
          <w:szCs w:val="22"/>
        </w:rPr>
      </w:pPr>
    </w:p>
    <w:p w14:paraId="71641C4F" w14:textId="0F0A70CC" w:rsidR="00A62BE0" w:rsidRPr="00F4040C" w:rsidRDefault="00C8187A" w:rsidP="00A62BE0">
      <w:pPr>
        <w:spacing w:before="100" w:beforeAutospacing="1" w:after="100" w:afterAutospacing="1"/>
        <w:jc w:val="center"/>
        <w:rPr>
          <w:rFonts w:ascii="Arial" w:eastAsia="Times New Roman" w:hAnsi="Arial" w:cs="Arial"/>
          <w:sz w:val="28"/>
          <w:szCs w:val="28"/>
        </w:rPr>
      </w:pPr>
      <w:r w:rsidRPr="00F4040C">
        <w:rPr>
          <w:rFonts w:ascii="Arial" w:eastAsia="Times New Roman" w:hAnsi="Arial" w:cs="Arial"/>
          <w:b/>
          <w:bCs/>
          <w:sz w:val="28"/>
          <w:szCs w:val="28"/>
        </w:rPr>
        <w:t>B</w:t>
      </w:r>
      <w:r w:rsidR="00A62BE0" w:rsidRPr="00F4040C">
        <w:rPr>
          <w:rFonts w:ascii="Arial" w:eastAsia="Times New Roman" w:hAnsi="Arial" w:cs="Arial"/>
          <w:b/>
          <w:bCs/>
          <w:sz w:val="28"/>
          <w:szCs w:val="28"/>
        </w:rPr>
        <w:t>y CEE Group 17:</w:t>
      </w:r>
    </w:p>
    <w:p w14:paraId="289EFE42" w14:textId="18589BBA" w:rsidR="00A62BE0" w:rsidRPr="00F4040C" w:rsidRDefault="00A62BE0" w:rsidP="00A62BE0">
      <w:pPr>
        <w:jc w:val="center"/>
        <w:rPr>
          <w:rFonts w:ascii="Arial" w:hAnsi="Arial" w:cs="Arial"/>
          <w:lang w:val="en-US"/>
        </w:rPr>
      </w:pPr>
      <w:r w:rsidRPr="00F4040C">
        <w:rPr>
          <w:rFonts w:ascii="Arial" w:hAnsi="Arial" w:cs="Arial"/>
          <w:lang w:val="en-US"/>
        </w:rPr>
        <w:t xml:space="preserve">Arvin </w:t>
      </w:r>
      <w:r w:rsidR="00C8187A" w:rsidRPr="00F4040C">
        <w:rPr>
          <w:rFonts w:ascii="Arial" w:hAnsi="Arial" w:cs="Arial"/>
          <w:lang w:val="en-US"/>
        </w:rPr>
        <w:t>Jaya</w:t>
      </w:r>
      <w:r w:rsidR="00076EA4">
        <w:rPr>
          <w:rFonts w:ascii="Arial" w:hAnsi="Arial" w:cs="Arial"/>
          <w:lang w:val="en-US"/>
        </w:rPr>
        <w:t xml:space="preserve"> / </w:t>
      </w:r>
      <w:r w:rsidR="00715936">
        <w:rPr>
          <w:rFonts w:ascii="Arial" w:hAnsi="Arial" w:cs="Arial"/>
          <w:lang w:val="en-US"/>
        </w:rPr>
        <w:t>U2020612J</w:t>
      </w:r>
    </w:p>
    <w:p w14:paraId="768CF1AE" w14:textId="6A233381" w:rsidR="00A62BE0" w:rsidRPr="00F4040C" w:rsidRDefault="00A62BE0" w:rsidP="00A62BE0">
      <w:pPr>
        <w:jc w:val="center"/>
        <w:rPr>
          <w:rFonts w:ascii="Arial" w:hAnsi="Arial" w:cs="Arial"/>
          <w:lang w:val="en-US"/>
        </w:rPr>
      </w:pPr>
      <w:r w:rsidRPr="00F4040C">
        <w:rPr>
          <w:rFonts w:ascii="Arial" w:hAnsi="Arial" w:cs="Arial"/>
          <w:lang w:val="en-US"/>
        </w:rPr>
        <w:t xml:space="preserve">Daniel </w:t>
      </w:r>
      <w:proofErr w:type="spellStart"/>
      <w:r w:rsidRPr="00F4040C">
        <w:rPr>
          <w:rFonts w:ascii="Arial" w:hAnsi="Arial" w:cs="Arial"/>
          <w:lang w:val="en-US"/>
        </w:rPr>
        <w:t>Rahmatcipta</w:t>
      </w:r>
      <w:proofErr w:type="spellEnd"/>
      <w:r w:rsidR="00076EA4">
        <w:rPr>
          <w:rFonts w:ascii="Arial" w:hAnsi="Arial" w:cs="Arial"/>
          <w:lang w:val="en-US"/>
        </w:rPr>
        <w:t xml:space="preserve"> / </w:t>
      </w:r>
      <w:r w:rsidR="00715936">
        <w:rPr>
          <w:rFonts w:ascii="Arial" w:hAnsi="Arial" w:cs="Arial"/>
          <w:lang w:val="en-US"/>
        </w:rPr>
        <w:t>U2020541D</w:t>
      </w:r>
    </w:p>
    <w:p w14:paraId="182099E6" w14:textId="77777777" w:rsidR="00A62BE0" w:rsidRPr="00F4040C" w:rsidRDefault="00A62BE0" w:rsidP="00A62BE0">
      <w:pPr>
        <w:jc w:val="center"/>
        <w:rPr>
          <w:rFonts w:ascii="Arial" w:hAnsi="Arial" w:cs="Arial"/>
          <w:lang w:val="en-US"/>
        </w:rPr>
      </w:pPr>
      <w:r w:rsidRPr="00F4040C">
        <w:rPr>
          <w:rFonts w:ascii="Arial" w:hAnsi="Arial" w:cs="Arial"/>
          <w:lang w:val="en-US"/>
        </w:rPr>
        <w:t>Jessica Vania Gospel / U2020622G</w:t>
      </w:r>
    </w:p>
    <w:p w14:paraId="35BCBF6F" w14:textId="188149C5" w:rsidR="00A62BE0" w:rsidRPr="00F4040C" w:rsidRDefault="00A62BE0" w:rsidP="00A62BE0">
      <w:pPr>
        <w:jc w:val="center"/>
        <w:rPr>
          <w:rFonts w:ascii="Arial" w:hAnsi="Arial" w:cs="Arial"/>
          <w:lang w:val="en-US"/>
        </w:rPr>
      </w:pPr>
      <w:r w:rsidRPr="00F4040C">
        <w:rPr>
          <w:rFonts w:ascii="Arial" w:hAnsi="Arial" w:cs="Arial"/>
          <w:lang w:val="en-US"/>
        </w:rPr>
        <w:t xml:space="preserve">Jonathan Nicholas Yap </w:t>
      </w:r>
      <w:r w:rsidR="00076EA4">
        <w:rPr>
          <w:rFonts w:ascii="Arial" w:hAnsi="Arial" w:cs="Arial"/>
          <w:lang w:val="en-US"/>
        </w:rPr>
        <w:t xml:space="preserve">/ </w:t>
      </w:r>
      <w:r w:rsidR="00715936">
        <w:rPr>
          <w:rFonts w:ascii="Arial" w:hAnsi="Arial" w:cs="Arial"/>
          <w:lang w:val="en-US"/>
        </w:rPr>
        <w:t>U2020402F</w:t>
      </w:r>
    </w:p>
    <w:p w14:paraId="2508C59D" w14:textId="7371F63F" w:rsidR="00A62BE0" w:rsidRPr="00F4040C" w:rsidRDefault="00A62BE0" w:rsidP="00A62BE0">
      <w:pPr>
        <w:jc w:val="center"/>
        <w:rPr>
          <w:rFonts w:ascii="Arial" w:hAnsi="Arial" w:cs="Arial"/>
          <w:lang w:val="en-US"/>
        </w:rPr>
      </w:pPr>
      <w:proofErr w:type="spellStart"/>
      <w:r w:rsidRPr="00F4040C">
        <w:rPr>
          <w:rFonts w:ascii="Arial" w:hAnsi="Arial" w:cs="Arial"/>
          <w:lang w:val="en-US"/>
        </w:rPr>
        <w:t>Renardi</w:t>
      </w:r>
      <w:proofErr w:type="spellEnd"/>
      <w:r w:rsidRPr="00F4040C">
        <w:rPr>
          <w:rFonts w:ascii="Arial" w:hAnsi="Arial" w:cs="Arial"/>
          <w:lang w:val="en-US"/>
        </w:rPr>
        <w:t xml:space="preserve"> </w:t>
      </w:r>
      <w:proofErr w:type="spellStart"/>
      <w:r w:rsidRPr="00F4040C">
        <w:rPr>
          <w:rFonts w:ascii="Arial" w:hAnsi="Arial" w:cs="Arial"/>
          <w:lang w:val="en-US"/>
        </w:rPr>
        <w:t>Muliawan</w:t>
      </w:r>
      <w:proofErr w:type="spellEnd"/>
      <w:r w:rsidRPr="00F4040C">
        <w:rPr>
          <w:rFonts w:ascii="Arial" w:hAnsi="Arial" w:cs="Arial"/>
          <w:lang w:val="en-US"/>
        </w:rPr>
        <w:t xml:space="preserve"> </w:t>
      </w:r>
      <w:r w:rsidR="00C8187A" w:rsidRPr="00F4040C">
        <w:rPr>
          <w:rFonts w:ascii="Arial" w:hAnsi="Arial" w:cs="Arial"/>
          <w:lang w:val="en-US"/>
        </w:rPr>
        <w:t>/ U2020532H</w:t>
      </w:r>
    </w:p>
    <w:p w14:paraId="5C91EC07" w14:textId="4A4352DC" w:rsidR="00A62BE0" w:rsidRPr="00F4040C" w:rsidRDefault="00A62BE0" w:rsidP="00A62BE0">
      <w:pPr>
        <w:jc w:val="center"/>
        <w:rPr>
          <w:rFonts w:ascii="Arial" w:hAnsi="Arial" w:cs="Arial"/>
          <w:lang w:val="en-US"/>
        </w:rPr>
      </w:pPr>
      <w:r w:rsidRPr="00F4040C">
        <w:rPr>
          <w:rFonts w:ascii="Arial" w:hAnsi="Arial" w:cs="Arial"/>
          <w:lang w:val="en-US"/>
        </w:rPr>
        <w:t>Yehuda Nathan N</w:t>
      </w:r>
      <w:r w:rsidR="00C8187A" w:rsidRPr="00F4040C">
        <w:rPr>
          <w:rFonts w:ascii="Arial" w:hAnsi="Arial" w:cs="Arial"/>
          <w:lang w:val="en-US"/>
        </w:rPr>
        <w:t>j</w:t>
      </w:r>
      <w:r w:rsidRPr="00F4040C">
        <w:rPr>
          <w:rFonts w:ascii="Arial" w:hAnsi="Arial" w:cs="Arial"/>
          <w:lang w:val="en-US"/>
        </w:rPr>
        <w:t>o</w:t>
      </w:r>
      <w:r w:rsidR="00C8187A" w:rsidRPr="00F4040C">
        <w:rPr>
          <w:rFonts w:ascii="Arial" w:hAnsi="Arial" w:cs="Arial"/>
          <w:lang w:val="en-US"/>
        </w:rPr>
        <w:t>to / U2020412D</w:t>
      </w:r>
    </w:p>
    <w:p w14:paraId="6518BA22" w14:textId="14E2C709" w:rsidR="00A62BE0" w:rsidRDefault="00A62BE0" w:rsidP="00A62BE0">
      <w:pPr>
        <w:jc w:val="center"/>
        <w:rPr>
          <w:lang w:val="en-US"/>
        </w:rPr>
      </w:pPr>
    </w:p>
    <w:p w14:paraId="5AFA641B" w14:textId="52DF56B8" w:rsidR="00A62BE0" w:rsidRDefault="00A62BE0" w:rsidP="00A62BE0">
      <w:pPr>
        <w:jc w:val="center"/>
        <w:rPr>
          <w:lang w:val="en-US"/>
        </w:rPr>
      </w:pPr>
    </w:p>
    <w:p w14:paraId="5D0EB4CC" w14:textId="183ADBCA" w:rsidR="00A62BE0" w:rsidRDefault="00A62BE0" w:rsidP="00A62BE0">
      <w:pPr>
        <w:jc w:val="center"/>
        <w:rPr>
          <w:lang w:val="en-US"/>
        </w:rPr>
      </w:pPr>
    </w:p>
    <w:p w14:paraId="250E9A85" w14:textId="3C4A9464" w:rsidR="00A62BE0" w:rsidRDefault="00A62BE0" w:rsidP="00A62BE0">
      <w:pPr>
        <w:jc w:val="center"/>
        <w:rPr>
          <w:lang w:val="en-US"/>
        </w:rPr>
      </w:pPr>
    </w:p>
    <w:p w14:paraId="045D852A" w14:textId="77777777" w:rsidR="00A62BE0" w:rsidRDefault="00A62BE0" w:rsidP="00C8187A">
      <w:pPr>
        <w:rPr>
          <w:lang w:val="en-US"/>
        </w:rPr>
      </w:pPr>
    </w:p>
    <w:p w14:paraId="12CA47CC" w14:textId="77777777" w:rsidR="00A62BE0" w:rsidRDefault="00A62BE0" w:rsidP="00A62BE0">
      <w:pPr>
        <w:jc w:val="center"/>
        <w:rPr>
          <w:lang w:val="en-US"/>
        </w:rPr>
      </w:pPr>
    </w:p>
    <w:sdt>
      <w:sdtPr>
        <w:rPr>
          <w:rFonts w:asciiTheme="minorHAnsi" w:eastAsiaTheme="minorHAnsi" w:hAnsiTheme="minorHAnsi" w:cstheme="minorBidi"/>
          <w:b w:val="0"/>
          <w:bCs w:val="0"/>
          <w:color w:val="auto"/>
          <w:sz w:val="24"/>
          <w:szCs w:val="24"/>
          <w:lang w:val="en-ID"/>
        </w:rPr>
        <w:id w:val="1579009365"/>
        <w:docPartObj>
          <w:docPartGallery w:val="Table of Contents"/>
          <w:docPartUnique/>
        </w:docPartObj>
      </w:sdtPr>
      <w:sdtEndPr>
        <w:rPr>
          <w:noProof/>
        </w:rPr>
      </w:sdtEndPr>
      <w:sdtContent>
        <w:p w14:paraId="38A6289A" w14:textId="241AB140" w:rsidR="00715936" w:rsidRPr="00715936" w:rsidRDefault="00715936" w:rsidP="00715936">
          <w:pPr>
            <w:pStyle w:val="TOCHeading"/>
            <w:spacing w:line="480" w:lineRule="auto"/>
            <w:rPr>
              <w:rFonts w:ascii="Arial" w:hAnsi="Arial" w:cs="Arial"/>
              <w:sz w:val="36"/>
              <w:szCs w:val="36"/>
            </w:rPr>
          </w:pPr>
          <w:r w:rsidRPr="00715936">
            <w:rPr>
              <w:rFonts w:ascii="Arial" w:hAnsi="Arial" w:cs="Arial"/>
              <w:sz w:val="36"/>
              <w:szCs w:val="36"/>
            </w:rPr>
            <w:t>Table of Contents</w:t>
          </w:r>
        </w:p>
        <w:p w14:paraId="51BF7C3A" w14:textId="78565357" w:rsidR="00715936" w:rsidRPr="00715936" w:rsidRDefault="00715936" w:rsidP="00715936">
          <w:pPr>
            <w:pStyle w:val="TOC1"/>
            <w:tabs>
              <w:tab w:val="right" w:leader="dot" w:pos="9350"/>
            </w:tabs>
            <w:spacing w:line="480" w:lineRule="auto"/>
            <w:rPr>
              <w:rFonts w:ascii="Arial" w:eastAsiaTheme="minorEastAsia" w:hAnsi="Arial" w:cs="Arial"/>
              <w:b w:val="0"/>
              <w:bCs w:val="0"/>
              <w:caps w:val="0"/>
              <w:noProof/>
              <w:sz w:val="22"/>
              <w:szCs w:val="22"/>
            </w:rPr>
          </w:pPr>
          <w:r w:rsidRPr="00715936">
            <w:rPr>
              <w:rFonts w:ascii="Arial" w:hAnsi="Arial" w:cs="Arial"/>
              <w:b w:val="0"/>
              <w:bCs w:val="0"/>
              <w:sz w:val="22"/>
              <w:szCs w:val="22"/>
            </w:rPr>
            <w:fldChar w:fldCharType="begin"/>
          </w:r>
          <w:r w:rsidRPr="00715936">
            <w:rPr>
              <w:rFonts w:ascii="Arial" w:hAnsi="Arial" w:cs="Arial"/>
              <w:sz w:val="22"/>
              <w:szCs w:val="22"/>
            </w:rPr>
            <w:instrText xml:space="preserve"> TOC \o "1-3" \h \z \u </w:instrText>
          </w:r>
          <w:r w:rsidRPr="00715936">
            <w:rPr>
              <w:rFonts w:ascii="Arial" w:hAnsi="Arial" w:cs="Arial"/>
              <w:b w:val="0"/>
              <w:bCs w:val="0"/>
              <w:sz w:val="22"/>
              <w:szCs w:val="22"/>
            </w:rPr>
            <w:fldChar w:fldCharType="separate"/>
          </w:r>
          <w:hyperlink w:anchor="_Toc67512652" w:history="1">
            <w:r w:rsidRPr="00715936">
              <w:rPr>
                <w:rStyle w:val="Hyperlink"/>
                <w:rFonts w:ascii="Arial" w:hAnsi="Arial" w:cs="Arial"/>
                <w:noProof/>
                <w:sz w:val="22"/>
                <w:szCs w:val="22"/>
              </w:rPr>
              <w:t>INTRODUCTION</w:t>
            </w:r>
            <w:r w:rsidRPr="00715936">
              <w:rPr>
                <w:rFonts w:ascii="Arial" w:hAnsi="Arial" w:cs="Arial"/>
                <w:noProof/>
                <w:webHidden/>
                <w:sz w:val="22"/>
                <w:szCs w:val="22"/>
              </w:rPr>
              <w:tab/>
            </w:r>
            <w:r w:rsidRPr="00715936">
              <w:rPr>
                <w:rFonts w:ascii="Arial" w:hAnsi="Arial" w:cs="Arial"/>
                <w:noProof/>
                <w:webHidden/>
                <w:sz w:val="22"/>
                <w:szCs w:val="22"/>
              </w:rPr>
              <w:fldChar w:fldCharType="begin"/>
            </w:r>
            <w:r w:rsidRPr="00715936">
              <w:rPr>
                <w:rFonts w:ascii="Arial" w:hAnsi="Arial" w:cs="Arial"/>
                <w:noProof/>
                <w:webHidden/>
                <w:sz w:val="22"/>
                <w:szCs w:val="22"/>
              </w:rPr>
              <w:instrText xml:space="preserve"> PAGEREF _Toc67512652 \h </w:instrText>
            </w:r>
            <w:r w:rsidRPr="00715936">
              <w:rPr>
                <w:rFonts w:ascii="Arial" w:hAnsi="Arial" w:cs="Arial"/>
                <w:noProof/>
                <w:webHidden/>
                <w:sz w:val="22"/>
                <w:szCs w:val="22"/>
              </w:rPr>
            </w:r>
            <w:r w:rsidRPr="00715936">
              <w:rPr>
                <w:rFonts w:ascii="Arial" w:hAnsi="Arial" w:cs="Arial"/>
                <w:noProof/>
                <w:webHidden/>
                <w:sz w:val="22"/>
                <w:szCs w:val="22"/>
              </w:rPr>
              <w:fldChar w:fldCharType="separate"/>
            </w:r>
            <w:r w:rsidR="00E62211">
              <w:rPr>
                <w:rFonts w:ascii="Arial" w:hAnsi="Arial" w:cs="Arial"/>
                <w:noProof/>
                <w:webHidden/>
                <w:sz w:val="22"/>
                <w:szCs w:val="22"/>
              </w:rPr>
              <w:t>3</w:t>
            </w:r>
            <w:r w:rsidRPr="00715936">
              <w:rPr>
                <w:rFonts w:ascii="Arial" w:hAnsi="Arial" w:cs="Arial"/>
                <w:noProof/>
                <w:webHidden/>
                <w:sz w:val="22"/>
                <w:szCs w:val="22"/>
              </w:rPr>
              <w:fldChar w:fldCharType="end"/>
            </w:r>
          </w:hyperlink>
        </w:p>
        <w:p w14:paraId="3896A0F8" w14:textId="318E2A4A" w:rsidR="00715936" w:rsidRPr="00715936" w:rsidRDefault="006C357C" w:rsidP="00715936">
          <w:pPr>
            <w:pStyle w:val="TOC1"/>
            <w:tabs>
              <w:tab w:val="right" w:leader="dot" w:pos="9350"/>
            </w:tabs>
            <w:spacing w:line="480" w:lineRule="auto"/>
            <w:rPr>
              <w:rFonts w:ascii="Arial" w:eastAsiaTheme="minorEastAsia" w:hAnsi="Arial" w:cs="Arial"/>
              <w:b w:val="0"/>
              <w:bCs w:val="0"/>
              <w:caps w:val="0"/>
              <w:noProof/>
              <w:sz w:val="22"/>
              <w:szCs w:val="22"/>
            </w:rPr>
          </w:pPr>
          <w:hyperlink w:anchor="_Toc67512654" w:history="1">
            <w:r w:rsidR="00715936" w:rsidRPr="00715936">
              <w:rPr>
                <w:rStyle w:val="Hyperlink"/>
                <w:rFonts w:ascii="Arial" w:hAnsi="Arial" w:cs="Arial"/>
                <w:noProof/>
                <w:sz w:val="22"/>
                <w:szCs w:val="22"/>
              </w:rPr>
              <w:t>LITERATURE REVIEW</w:t>
            </w:r>
            <w:r w:rsidR="00715936" w:rsidRPr="00715936">
              <w:rPr>
                <w:rFonts w:ascii="Arial" w:hAnsi="Arial" w:cs="Arial"/>
                <w:noProof/>
                <w:webHidden/>
                <w:sz w:val="22"/>
                <w:szCs w:val="22"/>
              </w:rPr>
              <w:tab/>
            </w:r>
            <w:r w:rsidR="00715936" w:rsidRPr="00715936">
              <w:rPr>
                <w:rFonts w:ascii="Arial" w:hAnsi="Arial" w:cs="Arial"/>
                <w:noProof/>
                <w:webHidden/>
                <w:sz w:val="22"/>
                <w:szCs w:val="22"/>
              </w:rPr>
              <w:fldChar w:fldCharType="begin"/>
            </w:r>
            <w:r w:rsidR="00715936" w:rsidRPr="00715936">
              <w:rPr>
                <w:rFonts w:ascii="Arial" w:hAnsi="Arial" w:cs="Arial"/>
                <w:noProof/>
                <w:webHidden/>
                <w:sz w:val="22"/>
                <w:szCs w:val="22"/>
              </w:rPr>
              <w:instrText xml:space="preserve"> PAGEREF _Toc67512654 \h </w:instrText>
            </w:r>
            <w:r w:rsidR="00715936" w:rsidRPr="00715936">
              <w:rPr>
                <w:rFonts w:ascii="Arial" w:hAnsi="Arial" w:cs="Arial"/>
                <w:noProof/>
                <w:webHidden/>
                <w:sz w:val="22"/>
                <w:szCs w:val="22"/>
              </w:rPr>
            </w:r>
            <w:r w:rsidR="00715936" w:rsidRPr="00715936">
              <w:rPr>
                <w:rFonts w:ascii="Arial" w:hAnsi="Arial" w:cs="Arial"/>
                <w:noProof/>
                <w:webHidden/>
                <w:sz w:val="22"/>
                <w:szCs w:val="22"/>
              </w:rPr>
              <w:fldChar w:fldCharType="separate"/>
            </w:r>
            <w:r w:rsidR="00E62211">
              <w:rPr>
                <w:rFonts w:ascii="Arial" w:hAnsi="Arial" w:cs="Arial"/>
                <w:noProof/>
                <w:webHidden/>
                <w:sz w:val="22"/>
                <w:szCs w:val="22"/>
              </w:rPr>
              <w:t>3</w:t>
            </w:r>
            <w:r w:rsidR="00715936" w:rsidRPr="00715936">
              <w:rPr>
                <w:rFonts w:ascii="Arial" w:hAnsi="Arial" w:cs="Arial"/>
                <w:noProof/>
                <w:webHidden/>
                <w:sz w:val="22"/>
                <w:szCs w:val="22"/>
              </w:rPr>
              <w:fldChar w:fldCharType="end"/>
            </w:r>
          </w:hyperlink>
        </w:p>
        <w:p w14:paraId="6ACF9DE4" w14:textId="420CCB4E" w:rsidR="00715936" w:rsidRPr="00715936" w:rsidRDefault="006C357C" w:rsidP="00715936">
          <w:pPr>
            <w:pStyle w:val="TOC1"/>
            <w:tabs>
              <w:tab w:val="right" w:leader="dot" w:pos="9350"/>
            </w:tabs>
            <w:spacing w:line="480" w:lineRule="auto"/>
            <w:rPr>
              <w:rFonts w:ascii="Arial" w:eastAsiaTheme="minorEastAsia" w:hAnsi="Arial" w:cs="Arial"/>
              <w:b w:val="0"/>
              <w:bCs w:val="0"/>
              <w:caps w:val="0"/>
              <w:noProof/>
              <w:sz w:val="22"/>
              <w:szCs w:val="22"/>
            </w:rPr>
          </w:pPr>
          <w:hyperlink w:anchor="_Toc67512656" w:history="1">
            <w:r w:rsidR="00715936" w:rsidRPr="00715936">
              <w:rPr>
                <w:rStyle w:val="Hyperlink"/>
                <w:rFonts w:ascii="Arial" w:hAnsi="Arial" w:cs="Arial"/>
                <w:noProof/>
                <w:sz w:val="22"/>
                <w:szCs w:val="22"/>
              </w:rPr>
              <w:t>PROBLEM STATEMENT</w:t>
            </w:r>
            <w:r w:rsidR="00715936" w:rsidRPr="00715936">
              <w:rPr>
                <w:rFonts w:ascii="Arial" w:hAnsi="Arial" w:cs="Arial"/>
                <w:noProof/>
                <w:webHidden/>
                <w:sz w:val="22"/>
                <w:szCs w:val="22"/>
              </w:rPr>
              <w:tab/>
            </w:r>
            <w:r w:rsidR="00715936" w:rsidRPr="00715936">
              <w:rPr>
                <w:rFonts w:ascii="Arial" w:hAnsi="Arial" w:cs="Arial"/>
                <w:noProof/>
                <w:webHidden/>
                <w:sz w:val="22"/>
                <w:szCs w:val="22"/>
              </w:rPr>
              <w:fldChar w:fldCharType="begin"/>
            </w:r>
            <w:r w:rsidR="00715936" w:rsidRPr="00715936">
              <w:rPr>
                <w:rFonts w:ascii="Arial" w:hAnsi="Arial" w:cs="Arial"/>
                <w:noProof/>
                <w:webHidden/>
                <w:sz w:val="22"/>
                <w:szCs w:val="22"/>
              </w:rPr>
              <w:instrText xml:space="preserve"> PAGEREF _Toc67512656 \h </w:instrText>
            </w:r>
            <w:r w:rsidR="00715936" w:rsidRPr="00715936">
              <w:rPr>
                <w:rFonts w:ascii="Arial" w:hAnsi="Arial" w:cs="Arial"/>
                <w:noProof/>
                <w:webHidden/>
                <w:sz w:val="22"/>
                <w:szCs w:val="22"/>
              </w:rPr>
            </w:r>
            <w:r w:rsidR="00715936" w:rsidRPr="00715936">
              <w:rPr>
                <w:rFonts w:ascii="Arial" w:hAnsi="Arial" w:cs="Arial"/>
                <w:noProof/>
                <w:webHidden/>
                <w:sz w:val="22"/>
                <w:szCs w:val="22"/>
              </w:rPr>
              <w:fldChar w:fldCharType="separate"/>
            </w:r>
            <w:r w:rsidR="00E62211">
              <w:rPr>
                <w:rFonts w:ascii="Arial" w:hAnsi="Arial" w:cs="Arial"/>
                <w:noProof/>
                <w:webHidden/>
                <w:sz w:val="22"/>
                <w:szCs w:val="22"/>
              </w:rPr>
              <w:t>4</w:t>
            </w:r>
            <w:r w:rsidR="00715936" w:rsidRPr="00715936">
              <w:rPr>
                <w:rFonts w:ascii="Arial" w:hAnsi="Arial" w:cs="Arial"/>
                <w:noProof/>
                <w:webHidden/>
                <w:sz w:val="22"/>
                <w:szCs w:val="22"/>
              </w:rPr>
              <w:fldChar w:fldCharType="end"/>
            </w:r>
          </w:hyperlink>
        </w:p>
        <w:p w14:paraId="406D0073" w14:textId="3ACDA42C" w:rsidR="00715936" w:rsidRPr="00715936" w:rsidRDefault="006C357C" w:rsidP="00715936">
          <w:pPr>
            <w:pStyle w:val="TOC1"/>
            <w:tabs>
              <w:tab w:val="right" w:leader="dot" w:pos="9350"/>
            </w:tabs>
            <w:spacing w:line="480" w:lineRule="auto"/>
            <w:rPr>
              <w:rFonts w:ascii="Arial" w:eastAsiaTheme="minorEastAsia" w:hAnsi="Arial" w:cs="Arial"/>
              <w:b w:val="0"/>
              <w:bCs w:val="0"/>
              <w:caps w:val="0"/>
              <w:noProof/>
              <w:sz w:val="22"/>
              <w:szCs w:val="22"/>
            </w:rPr>
          </w:pPr>
          <w:hyperlink w:anchor="_Toc67512658" w:history="1">
            <w:r w:rsidR="00715936" w:rsidRPr="00715936">
              <w:rPr>
                <w:rStyle w:val="Hyperlink"/>
                <w:rFonts w:ascii="Arial" w:hAnsi="Arial" w:cs="Arial"/>
                <w:noProof/>
                <w:sz w:val="22"/>
                <w:szCs w:val="22"/>
              </w:rPr>
              <w:t>PROPOSED SOLUTIONS</w:t>
            </w:r>
            <w:r w:rsidR="00715936" w:rsidRPr="00715936">
              <w:rPr>
                <w:rFonts w:ascii="Arial" w:hAnsi="Arial" w:cs="Arial"/>
                <w:noProof/>
                <w:webHidden/>
                <w:sz w:val="22"/>
                <w:szCs w:val="22"/>
              </w:rPr>
              <w:tab/>
            </w:r>
            <w:r w:rsidR="00715936" w:rsidRPr="00715936">
              <w:rPr>
                <w:rFonts w:ascii="Arial" w:hAnsi="Arial" w:cs="Arial"/>
                <w:noProof/>
                <w:webHidden/>
                <w:sz w:val="22"/>
                <w:szCs w:val="22"/>
              </w:rPr>
              <w:fldChar w:fldCharType="begin"/>
            </w:r>
            <w:r w:rsidR="00715936" w:rsidRPr="00715936">
              <w:rPr>
                <w:rFonts w:ascii="Arial" w:hAnsi="Arial" w:cs="Arial"/>
                <w:noProof/>
                <w:webHidden/>
                <w:sz w:val="22"/>
                <w:szCs w:val="22"/>
              </w:rPr>
              <w:instrText xml:space="preserve"> PAGEREF _Toc67512658 \h </w:instrText>
            </w:r>
            <w:r w:rsidR="00715936" w:rsidRPr="00715936">
              <w:rPr>
                <w:rFonts w:ascii="Arial" w:hAnsi="Arial" w:cs="Arial"/>
                <w:noProof/>
                <w:webHidden/>
                <w:sz w:val="22"/>
                <w:szCs w:val="22"/>
              </w:rPr>
            </w:r>
            <w:r w:rsidR="00715936" w:rsidRPr="00715936">
              <w:rPr>
                <w:rFonts w:ascii="Arial" w:hAnsi="Arial" w:cs="Arial"/>
                <w:noProof/>
                <w:webHidden/>
                <w:sz w:val="22"/>
                <w:szCs w:val="22"/>
              </w:rPr>
              <w:fldChar w:fldCharType="separate"/>
            </w:r>
            <w:r w:rsidR="00E62211">
              <w:rPr>
                <w:rFonts w:ascii="Arial" w:hAnsi="Arial" w:cs="Arial"/>
                <w:noProof/>
                <w:webHidden/>
                <w:sz w:val="22"/>
                <w:szCs w:val="22"/>
              </w:rPr>
              <w:t>4</w:t>
            </w:r>
            <w:r w:rsidR="00715936" w:rsidRPr="00715936">
              <w:rPr>
                <w:rFonts w:ascii="Arial" w:hAnsi="Arial" w:cs="Arial"/>
                <w:noProof/>
                <w:webHidden/>
                <w:sz w:val="22"/>
                <w:szCs w:val="22"/>
              </w:rPr>
              <w:fldChar w:fldCharType="end"/>
            </w:r>
          </w:hyperlink>
        </w:p>
        <w:p w14:paraId="30B71325" w14:textId="6B0552D9" w:rsidR="00715936" w:rsidRPr="00715936" w:rsidRDefault="006C357C" w:rsidP="00715936">
          <w:pPr>
            <w:pStyle w:val="TOC2"/>
            <w:tabs>
              <w:tab w:val="right" w:leader="dot" w:pos="9350"/>
            </w:tabs>
            <w:spacing w:line="480" w:lineRule="auto"/>
            <w:rPr>
              <w:rFonts w:ascii="Arial" w:eastAsiaTheme="minorEastAsia" w:hAnsi="Arial" w:cs="Arial"/>
              <w:i/>
              <w:iCs/>
              <w:smallCaps w:val="0"/>
              <w:noProof/>
              <w:sz w:val="22"/>
              <w:szCs w:val="22"/>
            </w:rPr>
          </w:pPr>
          <w:hyperlink w:anchor="_Toc67512659" w:history="1">
            <w:r w:rsidR="00715936" w:rsidRPr="00715936">
              <w:rPr>
                <w:rStyle w:val="Hyperlink"/>
                <w:rFonts w:ascii="Arial" w:hAnsi="Arial" w:cs="Arial"/>
                <w:i/>
                <w:iCs/>
                <w:noProof/>
                <w:sz w:val="22"/>
                <w:szCs w:val="22"/>
              </w:rPr>
              <w:t>ASPECT 1: ENABLING TECHNOLOGIES</w:t>
            </w:r>
            <w:r w:rsidR="00715936" w:rsidRPr="00715936">
              <w:rPr>
                <w:rFonts w:ascii="Arial" w:hAnsi="Arial" w:cs="Arial"/>
                <w:i/>
                <w:iCs/>
                <w:noProof/>
                <w:webHidden/>
                <w:sz w:val="22"/>
                <w:szCs w:val="22"/>
              </w:rPr>
              <w:tab/>
            </w:r>
            <w:r w:rsidR="00715936" w:rsidRPr="00715936">
              <w:rPr>
                <w:rFonts w:ascii="Arial" w:hAnsi="Arial" w:cs="Arial"/>
                <w:i/>
                <w:iCs/>
                <w:noProof/>
                <w:webHidden/>
                <w:sz w:val="22"/>
                <w:szCs w:val="22"/>
              </w:rPr>
              <w:fldChar w:fldCharType="begin"/>
            </w:r>
            <w:r w:rsidR="00715936" w:rsidRPr="00715936">
              <w:rPr>
                <w:rFonts w:ascii="Arial" w:hAnsi="Arial" w:cs="Arial"/>
                <w:i/>
                <w:iCs/>
                <w:noProof/>
                <w:webHidden/>
                <w:sz w:val="22"/>
                <w:szCs w:val="22"/>
              </w:rPr>
              <w:instrText xml:space="preserve"> PAGEREF _Toc67512659 \h </w:instrText>
            </w:r>
            <w:r w:rsidR="00715936" w:rsidRPr="00715936">
              <w:rPr>
                <w:rFonts w:ascii="Arial" w:hAnsi="Arial" w:cs="Arial"/>
                <w:i/>
                <w:iCs/>
                <w:noProof/>
                <w:webHidden/>
                <w:sz w:val="22"/>
                <w:szCs w:val="22"/>
              </w:rPr>
            </w:r>
            <w:r w:rsidR="00715936" w:rsidRPr="00715936">
              <w:rPr>
                <w:rFonts w:ascii="Arial" w:hAnsi="Arial" w:cs="Arial"/>
                <w:i/>
                <w:iCs/>
                <w:noProof/>
                <w:webHidden/>
                <w:sz w:val="22"/>
                <w:szCs w:val="22"/>
              </w:rPr>
              <w:fldChar w:fldCharType="separate"/>
            </w:r>
            <w:r w:rsidR="00E62211">
              <w:rPr>
                <w:rFonts w:ascii="Arial" w:hAnsi="Arial" w:cs="Arial"/>
                <w:i/>
                <w:iCs/>
                <w:noProof/>
                <w:webHidden/>
                <w:sz w:val="22"/>
                <w:szCs w:val="22"/>
              </w:rPr>
              <w:t>4</w:t>
            </w:r>
            <w:r w:rsidR="00715936" w:rsidRPr="00715936">
              <w:rPr>
                <w:rFonts w:ascii="Arial" w:hAnsi="Arial" w:cs="Arial"/>
                <w:i/>
                <w:iCs/>
                <w:noProof/>
                <w:webHidden/>
                <w:sz w:val="22"/>
                <w:szCs w:val="22"/>
              </w:rPr>
              <w:fldChar w:fldCharType="end"/>
            </w:r>
          </w:hyperlink>
        </w:p>
        <w:p w14:paraId="7A664456" w14:textId="1239B7E2" w:rsidR="00715936" w:rsidRPr="00715936" w:rsidRDefault="006C357C" w:rsidP="00715936">
          <w:pPr>
            <w:pStyle w:val="TOC2"/>
            <w:tabs>
              <w:tab w:val="right" w:leader="dot" w:pos="9350"/>
            </w:tabs>
            <w:spacing w:line="480" w:lineRule="auto"/>
            <w:rPr>
              <w:rFonts w:ascii="Arial" w:eastAsiaTheme="minorEastAsia" w:hAnsi="Arial" w:cs="Arial"/>
              <w:i/>
              <w:iCs/>
              <w:smallCaps w:val="0"/>
              <w:noProof/>
              <w:sz w:val="22"/>
              <w:szCs w:val="22"/>
            </w:rPr>
          </w:pPr>
          <w:hyperlink w:anchor="_Toc67512660" w:history="1">
            <w:r w:rsidR="00715936" w:rsidRPr="00715936">
              <w:rPr>
                <w:rStyle w:val="Hyperlink"/>
                <w:rFonts w:ascii="Arial" w:hAnsi="Arial" w:cs="Arial"/>
                <w:i/>
                <w:iCs/>
                <w:noProof/>
                <w:sz w:val="22"/>
                <w:szCs w:val="22"/>
              </w:rPr>
              <w:t>ASPECT 2: REGULATORY FRAMEWORKS</w:t>
            </w:r>
            <w:r w:rsidR="00715936" w:rsidRPr="00715936">
              <w:rPr>
                <w:rFonts w:ascii="Arial" w:hAnsi="Arial" w:cs="Arial"/>
                <w:i/>
                <w:iCs/>
                <w:noProof/>
                <w:webHidden/>
                <w:sz w:val="22"/>
                <w:szCs w:val="22"/>
              </w:rPr>
              <w:tab/>
            </w:r>
            <w:r w:rsidR="00715936" w:rsidRPr="00715936">
              <w:rPr>
                <w:rFonts w:ascii="Arial" w:hAnsi="Arial" w:cs="Arial"/>
                <w:i/>
                <w:iCs/>
                <w:noProof/>
                <w:webHidden/>
                <w:sz w:val="22"/>
                <w:szCs w:val="22"/>
              </w:rPr>
              <w:fldChar w:fldCharType="begin"/>
            </w:r>
            <w:r w:rsidR="00715936" w:rsidRPr="00715936">
              <w:rPr>
                <w:rFonts w:ascii="Arial" w:hAnsi="Arial" w:cs="Arial"/>
                <w:i/>
                <w:iCs/>
                <w:noProof/>
                <w:webHidden/>
                <w:sz w:val="22"/>
                <w:szCs w:val="22"/>
              </w:rPr>
              <w:instrText xml:space="preserve"> PAGEREF _Toc67512660 \h </w:instrText>
            </w:r>
            <w:r w:rsidR="00715936" w:rsidRPr="00715936">
              <w:rPr>
                <w:rFonts w:ascii="Arial" w:hAnsi="Arial" w:cs="Arial"/>
                <w:i/>
                <w:iCs/>
                <w:noProof/>
                <w:webHidden/>
                <w:sz w:val="22"/>
                <w:szCs w:val="22"/>
              </w:rPr>
            </w:r>
            <w:r w:rsidR="00715936" w:rsidRPr="00715936">
              <w:rPr>
                <w:rFonts w:ascii="Arial" w:hAnsi="Arial" w:cs="Arial"/>
                <w:i/>
                <w:iCs/>
                <w:noProof/>
                <w:webHidden/>
                <w:sz w:val="22"/>
                <w:szCs w:val="22"/>
              </w:rPr>
              <w:fldChar w:fldCharType="separate"/>
            </w:r>
            <w:r w:rsidR="00E62211">
              <w:rPr>
                <w:rFonts w:ascii="Arial" w:hAnsi="Arial" w:cs="Arial"/>
                <w:i/>
                <w:iCs/>
                <w:noProof/>
                <w:webHidden/>
                <w:sz w:val="22"/>
                <w:szCs w:val="22"/>
              </w:rPr>
              <w:t>4</w:t>
            </w:r>
            <w:r w:rsidR="00715936" w:rsidRPr="00715936">
              <w:rPr>
                <w:rFonts w:ascii="Arial" w:hAnsi="Arial" w:cs="Arial"/>
                <w:i/>
                <w:iCs/>
                <w:noProof/>
                <w:webHidden/>
                <w:sz w:val="22"/>
                <w:szCs w:val="22"/>
              </w:rPr>
              <w:fldChar w:fldCharType="end"/>
            </w:r>
          </w:hyperlink>
        </w:p>
        <w:p w14:paraId="40588589" w14:textId="66D90BCD" w:rsidR="00715936" w:rsidRPr="00715936" w:rsidRDefault="006C357C" w:rsidP="00715936">
          <w:pPr>
            <w:pStyle w:val="TOC2"/>
            <w:tabs>
              <w:tab w:val="right" w:leader="dot" w:pos="9350"/>
            </w:tabs>
            <w:spacing w:line="480" w:lineRule="auto"/>
            <w:rPr>
              <w:rFonts w:ascii="Arial" w:eastAsiaTheme="minorEastAsia" w:hAnsi="Arial" w:cs="Arial"/>
              <w:i/>
              <w:iCs/>
              <w:smallCaps w:val="0"/>
              <w:noProof/>
              <w:sz w:val="22"/>
              <w:szCs w:val="22"/>
            </w:rPr>
          </w:pPr>
          <w:hyperlink w:anchor="_Toc67512661" w:history="1">
            <w:r w:rsidR="00715936" w:rsidRPr="00715936">
              <w:rPr>
                <w:rStyle w:val="Hyperlink"/>
                <w:rFonts w:ascii="Arial" w:hAnsi="Arial" w:cs="Arial"/>
                <w:i/>
                <w:iCs/>
                <w:noProof/>
                <w:sz w:val="22"/>
                <w:szCs w:val="22"/>
              </w:rPr>
              <w:t>ASPECT 3: MARKET-READY PRODUCTS AND SERVICES</w:t>
            </w:r>
            <w:r w:rsidR="00715936" w:rsidRPr="00715936">
              <w:rPr>
                <w:rFonts w:ascii="Arial" w:hAnsi="Arial" w:cs="Arial"/>
                <w:i/>
                <w:iCs/>
                <w:noProof/>
                <w:webHidden/>
                <w:sz w:val="22"/>
                <w:szCs w:val="22"/>
              </w:rPr>
              <w:tab/>
            </w:r>
            <w:r w:rsidR="00715936" w:rsidRPr="00715936">
              <w:rPr>
                <w:rFonts w:ascii="Arial" w:hAnsi="Arial" w:cs="Arial"/>
                <w:i/>
                <w:iCs/>
                <w:noProof/>
                <w:webHidden/>
                <w:sz w:val="22"/>
                <w:szCs w:val="22"/>
              </w:rPr>
              <w:fldChar w:fldCharType="begin"/>
            </w:r>
            <w:r w:rsidR="00715936" w:rsidRPr="00715936">
              <w:rPr>
                <w:rFonts w:ascii="Arial" w:hAnsi="Arial" w:cs="Arial"/>
                <w:i/>
                <w:iCs/>
                <w:noProof/>
                <w:webHidden/>
                <w:sz w:val="22"/>
                <w:szCs w:val="22"/>
              </w:rPr>
              <w:instrText xml:space="preserve"> PAGEREF _Toc67512661 \h </w:instrText>
            </w:r>
            <w:r w:rsidR="00715936" w:rsidRPr="00715936">
              <w:rPr>
                <w:rFonts w:ascii="Arial" w:hAnsi="Arial" w:cs="Arial"/>
                <w:i/>
                <w:iCs/>
                <w:noProof/>
                <w:webHidden/>
                <w:sz w:val="22"/>
                <w:szCs w:val="22"/>
              </w:rPr>
            </w:r>
            <w:r w:rsidR="00715936" w:rsidRPr="00715936">
              <w:rPr>
                <w:rFonts w:ascii="Arial" w:hAnsi="Arial" w:cs="Arial"/>
                <w:i/>
                <w:iCs/>
                <w:noProof/>
                <w:webHidden/>
                <w:sz w:val="22"/>
                <w:szCs w:val="22"/>
              </w:rPr>
              <w:fldChar w:fldCharType="separate"/>
            </w:r>
            <w:r w:rsidR="00E62211">
              <w:rPr>
                <w:rFonts w:ascii="Arial" w:hAnsi="Arial" w:cs="Arial"/>
                <w:i/>
                <w:iCs/>
                <w:noProof/>
                <w:webHidden/>
                <w:sz w:val="22"/>
                <w:szCs w:val="22"/>
              </w:rPr>
              <w:t>5</w:t>
            </w:r>
            <w:r w:rsidR="00715936" w:rsidRPr="00715936">
              <w:rPr>
                <w:rFonts w:ascii="Arial" w:hAnsi="Arial" w:cs="Arial"/>
                <w:i/>
                <w:iCs/>
                <w:noProof/>
                <w:webHidden/>
                <w:sz w:val="22"/>
                <w:szCs w:val="22"/>
              </w:rPr>
              <w:fldChar w:fldCharType="end"/>
            </w:r>
          </w:hyperlink>
        </w:p>
        <w:p w14:paraId="1F07C0FF" w14:textId="2F69953D" w:rsidR="00715936" w:rsidRPr="00715936" w:rsidRDefault="006C357C" w:rsidP="00715936">
          <w:pPr>
            <w:pStyle w:val="TOC2"/>
            <w:tabs>
              <w:tab w:val="right" w:leader="dot" w:pos="9350"/>
            </w:tabs>
            <w:spacing w:line="480" w:lineRule="auto"/>
            <w:rPr>
              <w:rFonts w:ascii="Arial" w:eastAsiaTheme="minorEastAsia" w:hAnsi="Arial" w:cs="Arial"/>
              <w:i/>
              <w:iCs/>
              <w:smallCaps w:val="0"/>
              <w:noProof/>
              <w:sz w:val="22"/>
              <w:szCs w:val="22"/>
            </w:rPr>
          </w:pPr>
          <w:hyperlink w:anchor="_Toc67512662" w:history="1">
            <w:r w:rsidR="00715936" w:rsidRPr="00715936">
              <w:rPr>
                <w:rStyle w:val="Hyperlink"/>
                <w:rFonts w:ascii="Arial" w:hAnsi="Arial" w:cs="Arial"/>
                <w:i/>
                <w:iCs/>
                <w:noProof/>
                <w:sz w:val="22"/>
                <w:szCs w:val="22"/>
              </w:rPr>
              <w:t>ASPECT 4: SOCIO-ECONOMIC IMPACTS</w:t>
            </w:r>
            <w:r w:rsidR="00715936" w:rsidRPr="00715936">
              <w:rPr>
                <w:rFonts w:ascii="Arial" w:hAnsi="Arial" w:cs="Arial"/>
                <w:i/>
                <w:iCs/>
                <w:noProof/>
                <w:webHidden/>
                <w:sz w:val="22"/>
                <w:szCs w:val="22"/>
              </w:rPr>
              <w:tab/>
            </w:r>
            <w:r w:rsidR="00715936" w:rsidRPr="00715936">
              <w:rPr>
                <w:rFonts w:ascii="Arial" w:hAnsi="Arial" w:cs="Arial"/>
                <w:i/>
                <w:iCs/>
                <w:noProof/>
                <w:webHidden/>
                <w:sz w:val="22"/>
                <w:szCs w:val="22"/>
              </w:rPr>
              <w:fldChar w:fldCharType="begin"/>
            </w:r>
            <w:r w:rsidR="00715936" w:rsidRPr="00715936">
              <w:rPr>
                <w:rFonts w:ascii="Arial" w:hAnsi="Arial" w:cs="Arial"/>
                <w:i/>
                <w:iCs/>
                <w:noProof/>
                <w:webHidden/>
                <w:sz w:val="22"/>
                <w:szCs w:val="22"/>
              </w:rPr>
              <w:instrText xml:space="preserve"> PAGEREF _Toc67512662 \h </w:instrText>
            </w:r>
            <w:r w:rsidR="00715936" w:rsidRPr="00715936">
              <w:rPr>
                <w:rFonts w:ascii="Arial" w:hAnsi="Arial" w:cs="Arial"/>
                <w:i/>
                <w:iCs/>
                <w:noProof/>
                <w:webHidden/>
                <w:sz w:val="22"/>
                <w:szCs w:val="22"/>
              </w:rPr>
            </w:r>
            <w:r w:rsidR="00715936" w:rsidRPr="00715936">
              <w:rPr>
                <w:rFonts w:ascii="Arial" w:hAnsi="Arial" w:cs="Arial"/>
                <w:i/>
                <w:iCs/>
                <w:noProof/>
                <w:webHidden/>
                <w:sz w:val="22"/>
                <w:szCs w:val="22"/>
              </w:rPr>
              <w:fldChar w:fldCharType="separate"/>
            </w:r>
            <w:r w:rsidR="00E62211">
              <w:rPr>
                <w:rFonts w:ascii="Arial" w:hAnsi="Arial" w:cs="Arial"/>
                <w:i/>
                <w:iCs/>
                <w:noProof/>
                <w:webHidden/>
                <w:sz w:val="22"/>
                <w:szCs w:val="22"/>
              </w:rPr>
              <w:t>5</w:t>
            </w:r>
            <w:r w:rsidR="00715936" w:rsidRPr="00715936">
              <w:rPr>
                <w:rFonts w:ascii="Arial" w:hAnsi="Arial" w:cs="Arial"/>
                <w:i/>
                <w:iCs/>
                <w:noProof/>
                <w:webHidden/>
                <w:sz w:val="22"/>
                <w:szCs w:val="22"/>
              </w:rPr>
              <w:fldChar w:fldCharType="end"/>
            </w:r>
          </w:hyperlink>
        </w:p>
        <w:p w14:paraId="0783C384" w14:textId="2AC96190" w:rsidR="00715936" w:rsidRPr="00715936" w:rsidRDefault="006C357C" w:rsidP="00715936">
          <w:pPr>
            <w:pStyle w:val="TOC1"/>
            <w:tabs>
              <w:tab w:val="right" w:leader="dot" w:pos="9350"/>
            </w:tabs>
            <w:spacing w:line="480" w:lineRule="auto"/>
            <w:rPr>
              <w:rFonts w:ascii="Arial" w:eastAsiaTheme="minorEastAsia" w:hAnsi="Arial" w:cs="Arial"/>
              <w:b w:val="0"/>
              <w:bCs w:val="0"/>
              <w:caps w:val="0"/>
              <w:noProof/>
              <w:sz w:val="22"/>
              <w:szCs w:val="22"/>
            </w:rPr>
          </w:pPr>
          <w:hyperlink w:anchor="_Toc67512663" w:history="1">
            <w:r w:rsidR="00715936" w:rsidRPr="00715936">
              <w:rPr>
                <w:rStyle w:val="Hyperlink"/>
                <w:rFonts w:ascii="Arial" w:eastAsia="Times New Roman" w:hAnsi="Arial" w:cs="Arial"/>
                <w:noProof/>
                <w:sz w:val="22"/>
                <w:szCs w:val="22"/>
              </w:rPr>
              <w:t>DISCUSSION</w:t>
            </w:r>
            <w:r w:rsidR="00715936" w:rsidRPr="00715936">
              <w:rPr>
                <w:rFonts w:ascii="Arial" w:hAnsi="Arial" w:cs="Arial"/>
                <w:noProof/>
                <w:webHidden/>
                <w:sz w:val="22"/>
                <w:szCs w:val="22"/>
              </w:rPr>
              <w:tab/>
            </w:r>
            <w:r w:rsidR="00715936" w:rsidRPr="00715936">
              <w:rPr>
                <w:rFonts w:ascii="Arial" w:hAnsi="Arial" w:cs="Arial"/>
                <w:noProof/>
                <w:webHidden/>
                <w:sz w:val="22"/>
                <w:szCs w:val="22"/>
              </w:rPr>
              <w:fldChar w:fldCharType="begin"/>
            </w:r>
            <w:r w:rsidR="00715936" w:rsidRPr="00715936">
              <w:rPr>
                <w:rFonts w:ascii="Arial" w:hAnsi="Arial" w:cs="Arial"/>
                <w:noProof/>
                <w:webHidden/>
                <w:sz w:val="22"/>
                <w:szCs w:val="22"/>
              </w:rPr>
              <w:instrText xml:space="preserve"> PAGEREF _Toc67512663 \h </w:instrText>
            </w:r>
            <w:r w:rsidR="00715936" w:rsidRPr="00715936">
              <w:rPr>
                <w:rFonts w:ascii="Arial" w:hAnsi="Arial" w:cs="Arial"/>
                <w:noProof/>
                <w:webHidden/>
                <w:sz w:val="22"/>
                <w:szCs w:val="22"/>
              </w:rPr>
            </w:r>
            <w:r w:rsidR="00715936" w:rsidRPr="00715936">
              <w:rPr>
                <w:rFonts w:ascii="Arial" w:hAnsi="Arial" w:cs="Arial"/>
                <w:noProof/>
                <w:webHidden/>
                <w:sz w:val="22"/>
                <w:szCs w:val="22"/>
              </w:rPr>
              <w:fldChar w:fldCharType="separate"/>
            </w:r>
            <w:r w:rsidR="00E62211">
              <w:rPr>
                <w:rFonts w:ascii="Arial" w:hAnsi="Arial" w:cs="Arial"/>
                <w:noProof/>
                <w:webHidden/>
                <w:sz w:val="22"/>
                <w:szCs w:val="22"/>
              </w:rPr>
              <w:t>5</w:t>
            </w:r>
            <w:r w:rsidR="00715936" w:rsidRPr="00715936">
              <w:rPr>
                <w:rFonts w:ascii="Arial" w:hAnsi="Arial" w:cs="Arial"/>
                <w:noProof/>
                <w:webHidden/>
                <w:sz w:val="22"/>
                <w:szCs w:val="22"/>
              </w:rPr>
              <w:fldChar w:fldCharType="end"/>
            </w:r>
          </w:hyperlink>
        </w:p>
        <w:p w14:paraId="6E927E4A" w14:textId="0AB09790" w:rsidR="00162885" w:rsidRPr="00715936" w:rsidRDefault="006C357C" w:rsidP="00162885">
          <w:pPr>
            <w:pStyle w:val="TOC1"/>
            <w:tabs>
              <w:tab w:val="right" w:leader="dot" w:pos="9350"/>
            </w:tabs>
            <w:spacing w:line="480" w:lineRule="auto"/>
            <w:rPr>
              <w:rFonts w:ascii="Arial" w:eastAsiaTheme="minorEastAsia" w:hAnsi="Arial" w:cs="Arial"/>
              <w:b w:val="0"/>
              <w:bCs w:val="0"/>
              <w:caps w:val="0"/>
              <w:noProof/>
              <w:sz w:val="22"/>
              <w:szCs w:val="22"/>
            </w:rPr>
          </w:pPr>
          <w:hyperlink w:anchor="_Toc67512663" w:history="1">
            <w:r w:rsidR="00A24C7F">
              <w:rPr>
                <w:rStyle w:val="Hyperlink"/>
                <w:rFonts w:ascii="Arial" w:eastAsia="Times New Roman" w:hAnsi="Arial" w:cs="Arial"/>
                <w:noProof/>
                <w:sz w:val="22"/>
                <w:szCs w:val="22"/>
              </w:rPr>
              <w:t>ConClusion</w:t>
            </w:r>
          </w:hyperlink>
          <w:r w:rsidR="00A24C7F">
            <w:rPr>
              <w:rFonts w:ascii="Arial" w:hAnsi="Arial" w:cs="Arial"/>
              <w:noProof/>
              <w:sz w:val="22"/>
              <w:szCs w:val="22"/>
            </w:rPr>
            <w:t xml:space="preserve"> …………………………………………………………………………………………...6</w:t>
          </w:r>
        </w:p>
        <w:p w14:paraId="64F0605D" w14:textId="58081E56" w:rsidR="00715936" w:rsidRPr="00715936" w:rsidRDefault="006C357C" w:rsidP="00715936">
          <w:pPr>
            <w:pStyle w:val="TOC1"/>
            <w:tabs>
              <w:tab w:val="right" w:leader="dot" w:pos="9350"/>
            </w:tabs>
            <w:spacing w:line="480" w:lineRule="auto"/>
            <w:rPr>
              <w:rFonts w:ascii="Arial" w:eastAsiaTheme="minorEastAsia" w:hAnsi="Arial" w:cs="Arial"/>
              <w:b w:val="0"/>
              <w:bCs w:val="0"/>
              <w:caps w:val="0"/>
              <w:noProof/>
              <w:sz w:val="22"/>
              <w:szCs w:val="22"/>
            </w:rPr>
          </w:pPr>
          <w:hyperlink w:anchor="_Toc67512664" w:history="1">
            <w:r w:rsidR="00715936" w:rsidRPr="00715936">
              <w:rPr>
                <w:rStyle w:val="Hyperlink"/>
                <w:rFonts w:ascii="Arial" w:hAnsi="Arial" w:cs="Arial"/>
                <w:noProof/>
                <w:sz w:val="22"/>
                <w:szCs w:val="22"/>
              </w:rPr>
              <w:t>REFERENCES</w:t>
            </w:r>
            <w:r w:rsidR="00715936" w:rsidRPr="00715936">
              <w:rPr>
                <w:rFonts w:ascii="Arial" w:hAnsi="Arial" w:cs="Arial"/>
                <w:noProof/>
                <w:webHidden/>
                <w:sz w:val="22"/>
                <w:szCs w:val="22"/>
              </w:rPr>
              <w:tab/>
            </w:r>
            <w:r w:rsidR="00715936" w:rsidRPr="00715936">
              <w:rPr>
                <w:rFonts w:ascii="Arial" w:hAnsi="Arial" w:cs="Arial"/>
                <w:noProof/>
                <w:webHidden/>
                <w:sz w:val="22"/>
                <w:szCs w:val="22"/>
              </w:rPr>
              <w:fldChar w:fldCharType="begin"/>
            </w:r>
            <w:r w:rsidR="00715936" w:rsidRPr="00715936">
              <w:rPr>
                <w:rFonts w:ascii="Arial" w:hAnsi="Arial" w:cs="Arial"/>
                <w:noProof/>
                <w:webHidden/>
                <w:sz w:val="22"/>
                <w:szCs w:val="22"/>
              </w:rPr>
              <w:instrText xml:space="preserve"> PAGEREF _Toc67512664 \h </w:instrText>
            </w:r>
            <w:r w:rsidR="00715936" w:rsidRPr="00715936">
              <w:rPr>
                <w:rFonts w:ascii="Arial" w:hAnsi="Arial" w:cs="Arial"/>
                <w:noProof/>
                <w:webHidden/>
                <w:sz w:val="22"/>
                <w:szCs w:val="22"/>
              </w:rPr>
            </w:r>
            <w:r w:rsidR="00715936" w:rsidRPr="00715936">
              <w:rPr>
                <w:rFonts w:ascii="Arial" w:hAnsi="Arial" w:cs="Arial"/>
                <w:noProof/>
                <w:webHidden/>
                <w:sz w:val="22"/>
                <w:szCs w:val="22"/>
              </w:rPr>
              <w:fldChar w:fldCharType="separate"/>
            </w:r>
            <w:r w:rsidR="00E62211">
              <w:rPr>
                <w:rFonts w:ascii="Arial" w:hAnsi="Arial" w:cs="Arial"/>
                <w:noProof/>
                <w:webHidden/>
                <w:sz w:val="22"/>
                <w:szCs w:val="22"/>
              </w:rPr>
              <w:t>7</w:t>
            </w:r>
            <w:r w:rsidR="00715936" w:rsidRPr="00715936">
              <w:rPr>
                <w:rFonts w:ascii="Arial" w:hAnsi="Arial" w:cs="Arial"/>
                <w:noProof/>
                <w:webHidden/>
                <w:sz w:val="22"/>
                <w:szCs w:val="22"/>
              </w:rPr>
              <w:fldChar w:fldCharType="end"/>
            </w:r>
          </w:hyperlink>
        </w:p>
        <w:p w14:paraId="5970794E" w14:textId="01095DE0" w:rsidR="00715936" w:rsidRDefault="00715936" w:rsidP="00715936">
          <w:pPr>
            <w:spacing w:line="480" w:lineRule="auto"/>
          </w:pPr>
          <w:r w:rsidRPr="00715936">
            <w:rPr>
              <w:rFonts w:ascii="Arial" w:hAnsi="Arial" w:cs="Arial"/>
              <w:b/>
              <w:bCs/>
              <w:noProof/>
              <w:sz w:val="22"/>
              <w:szCs w:val="22"/>
            </w:rPr>
            <w:fldChar w:fldCharType="end"/>
          </w:r>
        </w:p>
      </w:sdtContent>
    </w:sdt>
    <w:p w14:paraId="6FC77E13" w14:textId="0CA88941" w:rsidR="00A62BE0" w:rsidRDefault="00A62BE0" w:rsidP="00715936">
      <w:pPr>
        <w:pStyle w:val="TOCHeading"/>
        <w:spacing w:line="480" w:lineRule="auto"/>
      </w:pPr>
    </w:p>
    <w:p w14:paraId="560FD362" w14:textId="53869F3A" w:rsidR="00A62BE0" w:rsidRDefault="00A62BE0"/>
    <w:p w14:paraId="6E9748D0" w14:textId="3CD13E1C" w:rsidR="00715936" w:rsidRDefault="00715936"/>
    <w:p w14:paraId="42489D66" w14:textId="45730C8E" w:rsidR="00715936" w:rsidRDefault="00715936"/>
    <w:p w14:paraId="69B5782E" w14:textId="46AEE89C" w:rsidR="00715936" w:rsidRDefault="00715936"/>
    <w:p w14:paraId="3F1E8BBA" w14:textId="335FA91A" w:rsidR="00715936" w:rsidRDefault="00715936"/>
    <w:p w14:paraId="77E70B08" w14:textId="3EC244A4" w:rsidR="00715936" w:rsidRDefault="00715936"/>
    <w:p w14:paraId="3DD013C8" w14:textId="5C4975DC" w:rsidR="00715936" w:rsidRDefault="00715936"/>
    <w:p w14:paraId="093B66C5" w14:textId="77777777" w:rsidR="00715936" w:rsidRDefault="00715936"/>
    <w:p w14:paraId="6C688FE7" w14:textId="7DC3C30D" w:rsidR="00F55EFE" w:rsidRPr="00ED77DC" w:rsidRDefault="00A62BE0" w:rsidP="005B019A">
      <w:pPr>
        <w:pStyle w:val="Heading1"/>
        <w:spacing w:before="100" w:beforeAutospacing="1"/>
        <w:jc w:val="both"/>
        <w:rPr>
          <w:rFonts w:ascii="Arial" w:hAnsi="Arial" w:cs="Arial"/>
          <w:sz w:val="28"/>
          <w:szCs w:val="28"/>
        </w:rPr>
      </w:pPr>
      <w:bookmarkStart w:id="0" w:name="_Toc67502078"/>
      <w:bookmarkStart w:id="1" w:name="_Toc67512652"/>
      <w:r w:rsidRPr="00ED77DC">
        <w:rPr>
          <w:rFonts w:ascii="Arial" w:hAnsi="Arial" w:cs="Arial"/>
          <w:sz w:val="28"/>
          <w:szCs w:val="28"/>
        </w:rPr>
        <w:lastRenderedPageBreak/>
        <w:t>INTRODUCTION</w:t>
      </w:r>
      <w:bookmarkEnd w:id="0"/>
      <w:bookmarkEnd w:id="1"/>
      <w:r w:rsidRPr="00ED77DC">
        <w:rPr>
          <w:rFonts w:ascii="Arial" w:hAnsi="Arial" w:cs="Arial"/>
          <w:sz w:val="28"/>
          <w:szCs w:val="28"/>
        </w:rPr>
        <w:t xml:space="preserve"> </w:t>
      </w:r>
      <w:bookmarkStart w:id="2" w:name="_Toc67502079"/>
    </w:p>
    <w:p w14:paraId="102580F6" w14:textId="07F609F4" w:rsidR="00F55EFE" w:rsidRPr="0086234E" w:rsidRDefault="00A62BE0" w:rsidP="0086234E">
      <w:pPr>
        <w:pStyle w:val="Heading1"/>
        <w:jc w:val="both"/>
        <w:rPr>
          <w:rFonts w:ascii="Arial" w:hAnsi="Arial" w:cs="Arial"/>
          <w:sz w:val="22"/>
          <w:szCs w:val="22"/>
        </w:rPr>
      </w:pPr>
      <w:bookmarkStart w:id="3" w:name="_Toc67512653"/>
      <w:r w:rsidRPr="00CD3023">
        <w:rPr>
          <w:rFonts w:ascii="Arial" w:eastAsia="Times New Roman" w:hAnsi="Arial" w:cs="Arial"/>
          <w:color w:val="000000"/>
          <w:sz w:val="22"/>
          <w:szCs w:val="22"/>
        </w:rPr>
        <w:t>This</w:t>
      </w:r>
      <w:bookmarkEnd w:id="2"/>
      <w:r w:rsidR="00F55EFE" w:rsidRPr="00F55EFE">
        <w:rPr>
          <w:rFonts w:ascii="Arial" w:eastAsia="Times New Roman" w:hAnsi="Arial" w:cs="Arial"/>
          <w:color w:val="000000"/>
          <w:sz w:val="22"/>
          <w:szCs w:val="22"/>
        </w:rPr>
        <w:t xml:space="preserve"> </w:t>
      </w:r>
      <w:r w:rsidR="00F55EFE" w:rsidRPr="00F55EFE">
        <w:rPr>
          <w:rFonts w:ascii="Arial" w:hAnsi="Arial" w:cs="Arial"/>
          <w:color w:val="000000"/>
          <w:sz w:val="22"/>
          <w:szCs w:val="22"/>
        </w:rPr>
        <w:t xml:space="preserve">report aims to research and discuss the prospects of adopting electric vehicles (EV) in the Singaporean context within the next 5-10 </w:t>
      </w:r>
      <w:proofErr w:type="spellStart"/>
      <w:r w:rsidR="00F55EFE" w:rsidRPr="00F55EFE">
        <w:rPr>
          <w:rFonts w:ascii="Arial" w:hAnsi="Arial" w:cs="Arial"/>
          <w:color w:val="000000"/>
          <w:sz w:val="22"/>
          <w:szCs w:val="22"/>
        </w:rPr>
        <w:t>years time</w:t>
      </w:r>
      <w:proofErr w:type="spellEnd"/>
      <w:r w:rsidR="00F55EFE" w:rsidRPr="00F55EFE">
        <w:rPr>
          <w:rFonts w:ascii="Arial" w:hAnsi="Arial" w:cs="Arial"/>
          <w:color w:val="000000"/>
          <w:sz w:val="22"/>
          <w:szCs w:val="22"/>
        </w:rPr>
        <w:t xml:space="preserve"> frame. It considers views from the economic, social, regulatory, and technological aspects and possible solutions. The research was done on relevant articles on EVs from electric vehicle journals from various countries, which were then analysed in terms of their relevance. Solutions were then proposed based on the approaches other countries took, which could work in Singapore and possible ideas with state-of-the-art technologies. Subsequently, these solutions were discussed with regards to their feasibility and their relation to researched literature. A conclusion was finally drawn on the overall implementation path of EVs in Singapore.</w:t>
      </w:r>
      <w:bookmarkEnd w:id="3"/>
    </w:p>
    <w:p w14:paraId="03DD3093" w14:textId="45A8B51F" w:rsidR="00F55EFE" w:rsidRDefault="00A62BE0" w:rsidP="005B019A">
      <w:pPr>
        <w:pStyle w:val="Heading1"/>
        <w:spacing w:before="100" w:beforeAutospacing="1"/>
        <w:jc w:val="both"/>
        <w:rPr>
          <w:rFonts w:ascii="Arial" w:hAnsi="Arial" w:cs="Arial"/>
          <w:sz w:val="22"/>
          <w:szCs w:val="22"/>
        </w:rPr>
      </w:pPr>
      <w:bookmarkStart w:id="4" w:name="_Toc67502080"/>
      <w:bookmarkStart w:id="5" w:name="_Toc67512654"/>
      <w:r w:rsidRPr="00ED77DC">
        <w:rPr>
          <w:rFonts w:ascii="Arial" w:hAnsi="Arial" w:cs="Arial"/>
          <w:sz w:val="28"/>
          <w:szCs w:val="28"/>
        </w:rPr>
        <w:t>LITERATURE REVIEW</w:t>
      </w:r>
      <w:bookmarkEnd w:id="4"/>
      <w:bookmarkEnd w:id="5"/>
    </w:p>
    <w:p w14:paraId="3C69E500" w14:textId="1A040AEC" w:rsidR="00F55EFE" w:rsidRPr="00F55EFE" w:rsidRDefault="00A62BE0" w:rsidP="00C8187A">
      <w:pPr>
        <w:pStyle w:val="Heading1"/>
        <w:jc w:val="both"/>
        <w:rPr>
          <w:rFonts w:ascii="Arial" w:hAnsi="Arial" w:cs="Arial"/>
          <w:sz w:val="22"/>
          <w:szCs w:val="22"/>
        </w:rPr>
      </w:pPr>
      <w:bookmarkStart w:id="6" w:name="_Toc67512655"/>
      <w:r w:rsidRPr="00CD3023">
        <w:rPr>
          <w:rFonts w:ascii="Arial" w:eastAsia="Times New Roman" w:hAnsi="Arial" w:cs="Arial"/>
          <w:color w:val="000000"/>
          <w:sz w:val="22"/>
          <w:szCs w:val="22"/>
        </w:rPr>
        <w:t xml:space="preserve">There </w:t>
      </w:r>
      <w:r w:rsidR="00F55EFE" w:rsidRPr="00F55EFE">
        <w:rPr>
          <w:rFonts w:ascii="Arial" w:hAnsi="Arial" w:cs="Arial"/>
          <w:color w:val="000000"/>
          <w:sz w:val="22"/>
          <w:szCs w:val="22"/>
        </w:rPr>
        <w:t>are two possible innovation paths on integrating Electric Vehicles (EVs) into the energy system with high priority success factors: (1) resolve standardization challenges and modify existing regulations; (2) address energy management. Each of these innovation paths is to be done in four aspects: (1) socio-economic and regulatory frameworks; (2) enabling technologies; (3) market-ready products and services; (4) social and economic impacts (Wolf &amp; Korzynietz, 2019). These paths would help solve problems such as charging infrastructure installations, car-to-energy supply communications, and financial incentives.</w:t>
      </w:r>
      <w:bookmarkEnd w:id="6"/>
    </w:p>
    <w:p w14:paraId="458303CC" w14:textId="77777777" w:rsidR="00F55EFE" w:rsidRPr="00F55EFE" w:rsidRDefault="00F55EFE" w:rsidP="00C8187A">
      <w:pPr>
        <w:jc w:val="both"/>
        <w:rPr>
          <w:rFonts w:ascii="Arial" w:eastAsia="Times New Roman" w:hAnsi="Arial" w:cs="Arial"/>
          <w:color w:val="000000"/>
          <w:sz w:val="22"/>
          <w:szCs w:val="22"/>
        </w:rPr>
      </w:pPr>
    </w:p>
    <w:p w14:paraId="4E3577EF" w14:textId="3CD82066"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In Brazil, Li-ion battery technology's breakthroughs have prompted EV prices to go down in recent times; however, range anxiety still plays a crucial role in generating a dilemma amongst potential EV buyers.</w:t>
      </w:r>
      <w:r w:rsidR="002A49E9">
        <w:rPr>
          <w:rFonts w:ascii="Arial" w:eastAsia="Times New Roman" w:hAnsi="Arial" w:cs="Arial"/>
          <w:color w:val="000000"/>
          <w:sz w:val="22"/>
          <w:szCs w:val="22"/>
        </w:rPr>
        <w:t xml:space="preserve"> </w:t>
      </w:r>
      <w:r w:rsidRPr="00F55EFE">
        <w:rPr>
          <w:rFonts w:ascii="Arial" w:eastAsia="Times New Roman" w:hAnsi="Arial" w:cs="Arial"/>
          <w:color w:val="000000"/>
          <w:sz w:val="22"/>
          <w:szCs w:val="22"/>
        </w:rPr>
        <w:t>Vargas et al. (2020) suggested a possible alternative to the long charging time problem by adopting China's Nio battery swapping technology. Unfortunately, this technology was proved to be impractical in Brazil due to insufficient standardization.</w:t>
      </w:r>
    </w:p>
    <w:p w14:paraId="7446E8F5" w14:textId="77777777" w:rsidR="00F55EFE" w:rsidRPr="00F55EFE" w:rsidRDefault="00F55EFE" w:rsidP="00C8187A">
      <w:pPr>
        <w:jc w:val="both"/>
        <w:rPr>
          <w:rFonts w:ascii="Arial" w:eastAsia="Times New Roman" w:hAnsi="Arial" w:cs="Arial"/>
          <w:color w:val="000000"/>
          <w:sz w:val="22"/>
          <w:szCs w:val="22"/>
        </w:rPr>
      </w:pPr>
    </w:p>
    <w:p w14:paraId="5F63F6BD" w14:textId="7777777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Electric vehicles could rise to 50 million units in the next five years; hence, charging stations play a crucial role in ensuring this happens. It is estimated that $110 billion to $180 billion must be invested from 2020 to 2030 to support EV charging stations' global demand. Currently, EV charging stations in private residences in some countries like China, the US, UK, and the EU-27 are pretty ubiquitous, but they will be insufficient in the future; therefore, on-site commercial charging systems in buildings together with further adjustment on local electric-grid infrastructure will be needed for the next ten years to meet the demand (Hoover et al., 2021).</w:t>
      </w:r>
    </w:p>
    <w:p w14:paraId="18FD94B1" w14:textId="77777777" w:rsidR="00F55EFE" w:rsidRPr="00F55EFE" w:rsidRDefault="00F55EFE" w:rsidP="00C8187A">
      <w:pPr>
        <w:jc w:val="both"/>
        <w:rPr>
          <w:rFonts w:ascii="Arial" w:eastAsia="Times New Roman" w:hAnsi="Arial" w:cs="Arial"/>
          <w:color w:val="000000"/>
          <w:sz w:val="22"/>
          <w:szCs w:val="22"/>
        </w:rPr>
      </w:pPr>
    </w:p>
    <w:p w14:paraId="533E1095" w14:textId="4A5FC9B6"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Fast-charging stations only constitute 5% - 10% of the total energy used by EVs in the US as they are mere substitutes to the dominant private chargers &amp; general level 2 AC chargers (&lt; 22 kW)</w:t>
      </w:r>
      <w:r w:rsidR="008B7A6C">
        <w:rPr>
          <w:rFonts w:ascii="Arial" w:eastAsia="Times New Roman" w:hAnsi="Arial" w:cs="Arial"/>
          <w:color w:val="000000"/>
          <w:sz w:val="22"/>
          <w:szCs w:val="22"/>
        </w:rPr>
        <w:t xml:space="preserve">. </w:t>
      </w:r>
      <w:r w:rsidRPr="00F55EFE">
        <w:rPr>
          <w:rFonts w:ascii="Arial" w:eastAsia="Times New Roman" w:hAnsi="Arial" w:cs="Arial"/>
          <w:color w:val="000000"/>
          <w:sz w:val="22"/>
          <w:szCs w:val="22"/>
        </w:rPr>
        <w:t>Additionally, the highest energy transfer at fast chargers is recorded during the afternoon (11 a.m. – 3 p.m.), contrary to private and public normal speed chargers</w:t>
      </w:r>
      <w:r w:rsidR="008B7A6C">
        <w:rPr>
          <w:rFonts w:ascii="Arial" w:eastAsia="Times New Roman" w:hAnsi="Arial" w:cs="Arial"/>
          <w:color w:val="000000"/>
          <w:sz w:val="22"/>
          <w:szCs w:val="22"/>
        </w:rPr>
        <w:t xml:space="preserve"> </w:t>
      </w:r>
      <w:r w:rsidR="008B7A6C" w:rsidRPr="00F55EFE">
        <w:rPr>
          <w:rFonts w:ascii="Arial" w:eastAsia="Times New Roman" w:hAnsi="Arial" w:cs="Arial"/>
          <w:color w:val="000000"/>
          <w:sz w:val="22"/>
          <w:szCs w:val="22"/>
        </w:rPr>
        <w:t>(Wolbertus</w:t>
      </w:r>
      <w:r w:rsidR="00CC77AB">
        <w:rPr>
          <w:rFonts w:ascii="Arial" w:eastAsia="Times New Roman" w:hAnsi="Arial" w:cs="Arial"/>
          <w:color w:val="000000"/>
          <w:sz w:val="22"/>
          <w:szCs w:val="22"/>
        </w:rPr>
        <w:t xml:space="preserve"> &amp;</w:t>
      </w:r>
      <w:r w:rsidR="008B7A6C" w:rsidRPr="00F55EFE">
        <w:rPr>
          <w:rFonts w:ascii="Arial" w:eastAsia="Times New Roman" w:hAnsi="Arial" w:cs="Arial"/>
          <w:color w:val="000000"/>
          <w:sz w:val="22"/>
          <w:szCs w:val="22"/>
        </w:rPr>
        <w:t xml:space="preserve"> </w:t>
      </w:r>
      <w:r w:rsidR="008B7A6C">
        <w:rPr>
          <w:rFonts w:ascii="Arial" w:hAnsi="Arial" w:cs="Arial"/>
          <w:noProof/>
          <w:sz w:val="22"/>
          <w:szCs w:val="22"/>
        </w:rPr>
        <w:t>v</w:t>
      </w:r>
      <w:r w:rsidR="008B7A6C" w:rsidRPr="00F4040C">
        <w:rPr>
          <w:rFonts w:ascii="Arial" w:hAnsi="Arial" w:cs="Arial"/>
          <w:noProof/>
          <w:sz w:val="22"/>
          <w:szCs w:val="22"/>
        </w:rPr>
        <w:t>an den Hoed</w:t>
      </w:r>
      <w:r w:rsidR="008B7A6C" w:rsidRPr="00F55EFE">
        <w:rPr>
          <w:rFonts w:ascii="Arial" w:eastAsia="Times New Roman" w:hAnsi="Arial" w:cs="Arial"/>
          <w:color w:val="000000"/>
          <w:sz w:val="22"/>
          <w:szCs w:val="22"/>
        </w:rPr>
        <w:t>, 20</w:t>
      </w:r>
      <w:r w:rsidR="00B9699B">
        <w:rPr>
          <w:rFonts w:ascii="Arial" w:eastAsia="Times New Roman" w:hAnsi="Arial" w:cs="Arial"/>
          <w:color w:val="000000"/>
          <w:sz w:val="22"/>
          <w:szCs w:val="22"/>
        </w:rPr>
        <w:t>20</w:t>
      </w:r>
      <w:r w:rsidR="008B7A6C" w:rsidRPr="00F55EFE">
        <w:rPr>
          <w:rFonts w:ascii="Arial" w:eastAsia="Times New Roman" w:hAnsi="Arial" w:cs="Arial"/>
          <w:color w:val="000000"/>
          <w:sz w:val="22"/>
          <w:szCs w:val="22"/>
        </w:rPr>
        <w:t>)</w:t>
      </w:r>
      <w:r w:rsidRPr="00F55EFE">
        <w:rPr>
          <w:rFonts w:ascii="Arial" w:eastAsia="Times New Roman" w:hAnsi="Arial" w:cs="Arial"/>
          <w:color w:val="000000"/>
          <w:sz w:val="22"/>
          <w:szCs w:val="22"/>
        </w:rPr>
        <w:t>. Accordingly, charging stations are found less near EV owners' homes than highways (</w:t>
      </w:r>
      <w:r w:rsidR="003D2A92">
        <w:rPr>
          <w:rFonts w:ascii="Arial" w:hAnsi="Arial" w:cs="Arial"/>
          <w:noProof/>
          <w:sz w:val="22"/>
          <w:szCs w:val="22"/>
        </w:rPr>
        <w:t>Smart</w:t>
      </w:r>
      <w:r w:rsidR="003D2A92" w:rsidRPr="00F4040C">
        <w:rPr>
          <w:rFonts w:ascii="Arial" w:hAnsi="Arial" w:cs="Arial"/>
          <w:noProof/>
          <w:sz w:val="22"/>
          <w:szCs w:val="22"/>
        </w:rPr>
        <w:t xml:space="preserve"> &amp; S</w:t>
      </w:r>
      <w:r w:rsidR="003D2A92">
        <w:rPr>
          <w:rFonts w:ascii="Arial" w:hAnsi="Arial" w:cs="Arial"/>
          <w:noProof/>
          <w:sz w:val="22"/>
          <w:szCs w:val="22"/>
        </w:rPr>
        <w:t>alisbury</w:t>
      </w:r>
      <w:r w:rsidRPr="00F55EFE">
        <w:rPr>
          <w:rFonts w:ascii="Arial" w:eastAsia="Times New Roman" w:hAnsi="Arial" w:cs="Arial"/>
          <w:color w:val="000000"/>
          <w:sz w:val="22"/>
          <w:szCs w:val="22"/>
        </w:rPr>
        <w:t>, 2015).</w:t>
      </w:r>
    </w:p>
    <w:p w14:paraId="0F0F0C82" w14:textId="77777777" w:rsidR="00F55EFE" w:rsidRPr="00F55EFE" w:rsidRDefault="00F55EFE" w:rsidP="00C8187A">
      <w:pPr>
        <w:jc w:val="both"/>
        <w:rPr>
          <w:rFonts w:ascii="Arial" w:eastAsia="Times New Roman" w:hAnsi="Arial" w:cs="Arial"/>
          <w:color w:val="000000"/>
          <w:sz w:val="22"/>
          <w:szCs w:val="22"/>
        </w:rPr>
      </w:pPr>
    </w:p>
    <w:p w14:paraId="2A34F36E" w14:textId="6A48DA92"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At present, Thailand is one of ASEAN's EV hubs. As stated by Thananusak et al. (2020), this is achieved due to its strategies in advancing EV adoptions, mainly of which are expanding charging stations at key locations through partnership and tax exemptions as well as creating EV charging consortiums to enable data exchange to ensure operability. Furthermore, in 2018, through the National Energy Policy Commission, the country had proposed the Time of Use (TOU) rate to avoid peak demands during the day (9 a.m. - 10 p.m.). According to the National Energy Policy Board of Thailand, there are three operational phases to be surpassed to achieve the goals of the </w:t>
      </w:r>
      <w:r w:rsidRPr="00F55EFE">
        <w:rPr>
          <w:rFonts w:ascii="Arial" w:eastAsia="Times New Roman" w:hAnsi="Arial" w:cs="Arial"/>
          <w:color w:val="000000"/>
          <w:sz w:val="22"/>
          <w:szCs w:val="22"/>
        </w:rPr>
        <w:lastRenderedPageBreak/>
        <w:t>EV roadmap: (1) prepare EV usage for public transportation; (2) implement EV investment in personal transportation; (3) expand EV usage and infrastructure across the country.</w:t>
      </w:r>
    </w:p>
    <w:p w14:paraId="75EF31BD" w14:textId="3A9CB1A3" w:rsidR="00F55EFE" w:rsidRPr="00ED77DC" w:rsidRDefault="00A62BE0" w:rsidP="005B019A">
      <w:pPr>
        <w:pStyle w:val="Heading1"/>
        <w:spacing w:before="100" w:beforeAutospacing="1"/>
        <w:jc w:val="both"/>
        <w:rPr>
          <w:rFonts w:ascii="Arial" w:hAnsi="Arial" w:cs="Arial"/>
          <w:sz w:val="28"/>
          <w:szCs w:val="28"/>
        </w:rPr>
      </w:pPr>
      <w:bookmarkStart w:id="7" w:name="_Toc67502081"/>
      <w:bookmarkStart w:id="8" w:name="_Toc67512656"/>
      <w:r w:rsidRPr="00ED77DC">
        <w:rPr>
          <w:rFonts w:ascii="Arial" w:hAnsi="Arial" w:cs="Arial"/>
          <w:sz w:val="28"/>
          <w:szCs w:val="28"/>
        </w:rPr>
        <w:t>PROBLEM STATEMENT</w:t>
      </w:r>
      <w:bookmarkEnd w:id="7"/>
      <w:bookmarkEnd w:id="8"/>
    </w:p>
    <w:p w14:paraId="06D0A6EB" w14:textId="04E8933C" w:rsidR="00F55EFE" w:rsidRPr="00F55EFE" w:rsidRDefault="00F55EFE" w:rsidP="00162885">
      <w:pPr>
        <w:pStyle w:val="Heading1"/>
        <w:jc w:val="both"/>
        <w:rPr>
          <w:rFonts w:ascii="Arial" w:hAnsi="Arial" w:cs="Arial"/>
          <w:sz w:val="22"/>
          <w:szCs w:val="22"/>
        </w:rPr>
      </w:pPr>
      <w:bookmarkStart w:id="9" w:name="_Toc67512657"/>
      <w:r w:rsidRPr="00F55EFE">
        <w:rPr>
          <w:rFonts w:ascii="Arial" w:eastAsia="Times New Roman" w:hAnsi="Arial" w:cs="Arial"/>
          <w:color w:val="000000"/>
          <w:sz w:val="22"/>
          <w:szCs w:val="22"/>
        </w:rPr>
        <w:t xml:space="preserve">Singapore's 2030 Green Plan aims for a more sustainable future with fewer carbon emissions. Although electric vehicle (EV) prices have dropped (Baldwin, 2020), </w:t>
      </w:r>
      <w:r w:rsidRPr="008D3BC7">
        <w:rPr>
          <w:rFonts w:ascii="Arial" w:eastAsia="Times New Roman" w:hAnsi="Arial" w:cs="Arial"/>
          <w:color w:val="000000"/>
          <w:sz w:val="22"/>
          <w:szCs w:val="22"/>
          <w:highlight w:val="yellow"/>
        </w:rPr>
        <w:t>lack of range</w:t>
      </w:r>
      <w:r w:rsidRPr="00F55EFE">
        <w:rPr>
          <w:rFonts w:ascii="Arial" w:eastAsia="Times New Roman" w:hAnsi="Arial" w:cs="Arial"/>
          <w:color w:val="000000"/>
          <w:sz w:val="22"/>
          <w:szCs w:val="22"/>
        </w:rPr>
        <w:t xml:space="preserve"> and </w:t>
      </w:r>
      <w:r w:rsidRPr="008D3BC7">
        <w:rPr>
          <w:rFonts w:ascii="Arial" w:eastAsia="Times New Roman" w:hAnsi="Arial" w:cs="Arial"/>
          <w:color w:val="000000"/>
          <w:sz w:val="22"/>
          <w:szCs w:val="22"/>
          <w:highlight w:val="yellow"/>
        </w:rPr>
        <w:t>charging point availability</w:t>
      </w:r>
      <w:r w:rsidRPr="00F55EFE">
        <w:rPr>
          <w:rFonts w:ascii="Arial" w:eastAsia="Times New Roman" w:hAnsi="Arial" w:cs="Arial"/>
          <w:color w:val="000000"/>
          <w:sz w:val="22"/>
          <w:szCs w:val="22"/>
        </w:rPr>
        <w:t xml:space="preserve"> remains a turn-off for potential EV purchasers. With </w:t>
      </w:r>
      <w:r w:rsidRPr="008D3BC7">
        <w:rPr>
          <w:rFonts w:ascii="Arial" w:eastAsia="Times New Roman" w:hAnsi="Arial" w:cs="Arial"/>
          <w:color w:val="000000"/>
          <w:sz w:val="22"/>
          <w:szCs w:val="22"/>
          <w:highlight w:val="yellow"/>
        </w:rPr>
        <w:t>only less than 2,000 charging points</w:t>
      </w:r>
      <w:r w:rsidRPr="00F55EFE">
        <w:rPr>
          <w:rFonts w:ascii="Arial" w:eastAsia="Times New Roman" w:hAnsi="Arial" w:cs="Arial"/>
          <w:color w:val="000000"/>
          <w:sz w:val="22"/>
          <w:szCs w:val="22"/>
        </w:rPr>
        <w:t xml:space="preserve"> and a low number of operating electric vehicles, in the meantime, Singapore is only crawling towards the electric utopia (Heng, 2021). Furthermore, it is still miles away from its 2030 Green Plan of operating 60,000 charging points nationwide.  Having said that, Singapore may not be able to reach its target of being carbon neutral by 2030 if charging infrastructure remains scarce and </w:t>
      </w:r>
      <w:r w:rsidRPr="008D3BC7">
        <w:rPr>
          <w:rFonts w:ascii="Arial" w:eastAsia="Times New Roman" w:hAnsi="Arial" w:cs="Arial"/>
          <w:color w:val="000000"/>
          <w:sz w:val="22"/>
          <w:szCs w:val="22"/>
          <w:highlight w:val="yellow"/>
        </w:rPr>
        <w:t>regulations remain ineffective</w:t>
      </w:r>
      <w:r w:rsidRPr="00F55EFE">
        <w:rPr>
          <w:rFonts w:ascii="Arial" w:eastAsia="Times New Roman" w:hAnsi="Arial" w:cs="Arial"/>
          <w:color w:val="000000"/>
          <w:sz w:val="22"/>
          <w:szCs w:val="22"/>
        </w:rPr>
        <w:t>.</w:t>
      </w:r>
      <w:bookmarkEnd w:id="9"/>
    </w:p>
    <w:p w14:paraId="0D0550C0" w14:textId="18B1455F" w:rsidR="00F55EFE" w:rsidRPr="00ED77DC" w:rsidRDefault="00F55EFE" w:rsidP="00162885">
      <w:pPr>
        <w:pStyle w:val="Heading1"/>
        <w:jc w:val="both"/>
        <w:rPr>
          <w:rFonts w:ascii="Arial" w:hAnsi="Arial" w:cs="Arial"/>
          <w:sz w:val="28"/>
          <w:szCs w:val="28"/>
        </w:rPr>
      </w:pPr>
      <w:bookmarkStart w:id="10" w:name="_Toc67512658"/>
      <w:r w:rsidRPr="00ED77DC">
        <w:rPr>
          <w:rFonts w:ascii="Arial" w:hAnsi="Arial" w:cs="Arial"/>
          <w:sz w:val="28"/>
          <w:szCs w:val="28"/>
        </w:rPr>
        <w:t>PROPOSED SOLUTIONS</w:t>
      </w:r>
      <w:bookmarkEnd w:id="10"/>
    </w:p>
    <w:p w14:paraId="315A981C" w14:textId="2B5FFD13" w:rsidR="00A62BE0" w:rsidRPr="00F55EFE" w:rsidRDefault="00A62BE0" w:rsidP="00C8187A">
      <w:pPr>
        <w:jc w:val="both"/>
        <w:rPr>
          <w:rFonts w:ascii="Arial" w:hAnsi="Arial" w:cs="Arial"/>
          <w:sz w:val="22"/>
          <w:szCs w:val="22"/>
        </w:rPr>
      </w:pPr>
    </w:p>
    <w:p w14:paraId="278C86AF" w14:textId="094D3E68" w:rsidR="00A62BE0" w:rsidRPr="00F55EFE" w:rsidRDefault="00A62BE0" w:rsidP="00C8187A">
      <w:pPr>
        <w:pStyle w:val="Heading2"/>
        <w:jc w:val="both"/>
        <w:rPr>
          <w:rFonts w:ascii="Arial" w:hAnsi="Arial" w:cs="Arial"/>
          <w:sz w:val="22"/>
          <w:szCs w:val="22"/>
        </w:rPr>
      </w:pPr>
      <w:bookmarkStart w:id="11" w:name="_Toc67502082"/>
      <w:bookmarkStart w:id="12" w:name="_Toc67512659"/>
      <w:r w:rsidRPr="00F55EFE">
        <w:rPr>
          <w:rFonts w:ascii="Arial" w:hAnsi="Arial" w:cs="Arial"/>
          <w:sz w:val="22"/>
          <w:szCs w:val="22"/>
        </w:rPr>
        <w:t>ASPECT 1: ENABLING TECHNOLOGIES</w:t>
      </w:r>
      <w:bookmarkEnd w:id="11"/>
      <w:bookmarkEnd w:id="12"/>
    </w:p>
    <w:p w14:paraId="05BBA69B" w14:textId="29A75A68" w:rsidR="00F55EFE" w:rsidRPr="00F55EFE" w:rsidRDefault="00F55EFE" w:rsidP="00C8187A">
      <w:pPr>
        <w:jc w:val="both"/>
        <w:rPr>
          <w:rFonts w:ascii="Arial" w:eastAsia="Times New Roman" w:hAnsi="Arial" w:cs="Arial"/>
          <w:color w:val="000000"/>
          <w:sz w:val="22"/>
          <w:szCs w:val="22"/>
        </w:rPr>
      </w:pPr>
      <w:bookmarkStart w:id="13" w:name="_Toc67502084"/>
      <w:r w:rsidRPr="008D3BC7">
        <w:rPr>
          <w:rFonts w:ascii="Arial" w:eastAsia="Times New Roman" w:hAnsi="Arial" w:cs="Arial"/>
          <w:color w:val="000000"/>
          <w:sz w:val="22"/>
          <w:szCs w:val="22"/>
          <w:highlight w:val="yellow"/>
        </w:rPr>
        <w:t>Charging time and the lack of widespread charging stations</w:t>
      </w:r>
      <w:r w:rsidRPr="00F55EFE">
        <w:rPr>
          <w:rFonts w:ascii="Arial" w:eastAsia="Times New Roman" w:hAnsi="Arial" w:cs="Arial"/>
          <w:color w:val="000000"/>
          <w:sz w:val="22"/>
          <w:szCs w:val="22"/>
        </w:rPr>
        <w:t xml:space="preserve"> are arguably the main inhibitors of EV adoption in Singapore. One possible solution is </w:t>
      </w:r>
      <w:r w:rsidRPr="00506F08">
        <w:rPr>
          <w:rFonts w:ascii="Arial" w:eastAsia="Times New Roman" w:hAnsi="Arial" w:cs="Arial"/>
          <w:color w:val="000000"/>
          <w:sz w:val="22"/>
          <w:szCs w:val="22"/>
          <w:highlight w:val="yellow"/>
          <w:u w:val="single"/>
        </w:rPr>
        <w:t>battery swapping</w:t>
      </w:r>
      <w:r w:rsidRPr="008D3BC7">
        <w:rPr>
          <w:rFonts w:ascii="Arial" w:eastAsia="Times New Roman" w:hAnsi="Arial" w:cs="Arial"/>
          <w:color w:val="000000"/>
          <w:sz w:val="22"/>
          <w:szCs w:val="22"/>
          <w:highlight w:val="yellow"/>
        </w:rPr>
        <w:t>,</w:t>
      </w:r>
      <w:r w:rsidRPr="00F55EFE">
        <w:rPr>
          <w:rFonts w:ascii="Arial" w:eastAsia="Times New Roman" w:hAnsi="Arial" w:cs="Arial"/>
          <w:color w:val="000000"/>
          <w:sz w:val="22"/>
          <w:szCs w:val="22"/>
        </w:rPr>
        <w:t xml:space="preserve"> having proven itself to be successful in China, led by the Chinese EV manufacturers: NIO and BAIC Beijing EV (BJEV) (Kane, 2020) with their standardized battery size in various kWh capacities (Ruffo, 2020). No cross-manufacturer standard has been set; however, it is intended for technical safety protocol purposes. During the purchase of their EVs, customers may opt for </w:t>
      </w:r>
      <w:r w:rsidRPr="00506F08">
        <w:rPr>
          <w:rFonts w:ascii="Arial" w:eastAsia="Times New Roman" w:hAnsi="Arial" w:cs="Arial"/>
          <w:color w:val="000000"/>
          <w:sz w:val="22"/>
          <w:szCs w:val="22"/>
          <w:highlight w:val="yellow"/>
          <w:u w:val="single"/>
        </w:rPr>
        <w:t>renting the battery monthly</w:t>
      </w:r>
      <w:r w:rsidRPr="00F55EFE">
        <w:rPr>
          <w:rFonts w:ascii="Arial" w:eastAsia="Times New Roman" w:hAnsi="Arial" w:cs="Arial"/>
          <w:color w:val="000000"/>
          <w:sz w:val="22"/>
          <w:szCs w:val="22"/>
        </w:rPr>
        <w:t xml:space="preserve"> instead of buying the battery, saving about $10,000 per EV car purchase (Zhang, 2020).</w:t>
      </w:r>
    </w:p>
    <w:p w14:paraId="0AF33F16" w14:textId="77777777" w:rsidR="00F55EFE" w:rsidRPr="00F55EFE" w:rsidRDefault="00F55EFE" w:rsidP="00C8187A">
      <w:pPr>
        <w:jc w:val="both"/>
        <w:rPr>
          <w:rFonts w:ascii="Arial" w:eastAsia="Times New Roman" w:hAnsi="Arial" w:cs="Arial"/>
          <w:color w:val="000000"/>
          <w:sz w:val="22"/>
          <w:szCs w:val="22"/>
        </w:rPr>
      </w:pPr>
    </w:p>
    <w:p w14:paraId="30C7DA01" w14:textId="7E55594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Another key innovation is </w:t>
      </w:r>
      <w:r w:rsidRPr="00506F08">
        <w:rPr>
          <w:rFonts w:ascii="Arial" w:eastAsia="Times New Roman" w:hAnsi="Arial" w:cs="Arial"/>
          <w:color w:val="000000"/>
          <w:sz w:val="22"/>
          <w:szCs w:val="22"/>
          <w:highlight w:val="yellow"/>
          <w:u w:val="single"/>
        </w:rPr>
        <w:t>smart charging</w:t>
      </w:r>
      <w:r w:rsidRPr="00F55EFE">
        <w:rPr>
          <w:rFonts w:ascii="Arial" w:eastAsia="Times New Roman" w:hAnsi="Arial" w:cs="Arial"/>
          <w:color w:val="000000"/>
          <w:sz w:val="22"/>
          <w:szCs w:val="22"/>
        </w:rPr>
        <w:t>, opening the way for data exchange between EVs and grid operators which will be instrumental in optimizing energy use. Since the charging session requires identifying the EV driver (</w:t>
      </w:r>
      <w:proofErr w:type="spellStart"/>
      <w:r w:rsidRPr="00F55EFE">
        <w:rPr>
          <w:rFonts w:ascii="Arial" w:eastAsia="Times New Roman" w:hAnsi="Arial" w:cs="Arial"/>
          <w:color w:val="000000"/>
          <w:sz w:val="22"/>
          <w:szCs w:val="22"/>
        </w:rPr>
        <w:t>Virta</w:t>
      </w:r>
      <w:proofErr w:type="spellEnd"/>
      <w:r w:rsidRPr="00F55EFE">
        <w:rPr>
          <w:rFonts w:ascii="Arial" w:eastAsia="Times New Roman" w:hAnsi="Arial" w:cs="Arial"/>
          <w:color w:val="000000"/>
          <w:sz w:val="22"/>
          <w:szCs w:val="22"/>
        </w:rPr>
        <w:t xml:space="preserve">, 2021), power suppliers can make use of the </w:t>
      </w:r>
      <w:r w:rsidRPr="00506F08">
        <w:rPr>
          <w:rFonts w:ascii="Arial" w:eastAsia="Times New Roman" w:hAnsi="Arial" w:cs="Arial"/>
          <w:color w:val="000000"/>
          <w:sz w:val="22"/>
          <w:szCs w:val="22"/>
          <w:highlight w:val="yellow"/>
          <w:u w:val="single"/>
        </w:rPr>
        <w:t>TOU rate</w:t>
      </w:r>
      <w:r w:rsidRPr="00F55EFE">
        <w:rPr>
          <w:rFonts w:ascii="Arial" w:eastAsia="Times New Roman" w:hAnsi="Arial" w:cs="Arial"/>
          <w:color w:val="000000"/>
          <w:sz w:val="22"/>
          <w:szCs w:val="22"/>
        </w:rPr>
        <w:t xml:space="preserve"> to reduce peak demand.  Such a reduction in peak demand will lighten the energy infrastructure load, making electricity distribution more efficient and less costly.</w:t>
      </w:r>
    </w:p>
    <w:p w14:paraId="7E0315E0" w14:textId="6965241C" w:rsidR="00F55EFE" w:rsidRPr="00F55EFE" w:rsidRDefault="00F55EFE" w:rsidP="00C8187A">
      <w:pPr>
        <w:spacing w:after="240"/>
        <w:jc w:val="both"/>
        <w:rPr>
          <w:rFonts w:ascii="Arial" w:eastAsia="Times New Roman" w:hAnsi="Arial" w:cs="Arial"/>
          <w:sz w:val="22"/>
          <w:szCs w:val="22"/>
        </w:rPr>
      </w:pPr>
    </w:p>
    <w:p w14:paraId="1E828B4E" w14:textId="54598F01" w:rsidR="00A62BE0" w:rsidRPr="00F55EFE" w:rsidRDefault="00A62BE0" w:rsidP="00C8187A">
      <w:pPr>
        <w:pStyle w:val="Heading2"/>
        <w:jc w:val="both"/>
        <w:rPr>
          <w:rFonts w:ascii="Arial" w:hAnsi="Arial" w:cs="Arial"/>
          <w:sz w:val="22"/>
          <w:szCs w:val="22"/>
        </w:rPr>
      </w:pPr>
      <w:bookmarkStart w:id="14" w:name="_Toc67512660"/>
      <w:r w:rsidRPr="00F55EFE">
        <w:rPr>
          <w:rFonts w:ascii="Arial" w:hAnsi="Arial" w:cs="Arial"/>
          <w:sz w:val="22"/>
          <w:szCs w:val="22"/>
        </w:rPr>
        <w:t>ASPECT 2: REGULATORY FRAMEWORKS</w:t>
      </w:r>
      <w:bookmarkEnd w:id="13"/>
      <w:bookmarkEnd w:id="14"/>
    </w:p>
    <w:p w14:paraId="0C2CCC5D" w14:textId="77777777" w:rsidR="00F55EFE" w:rsidRPr="00F55EFE" w:rsidRDefault="00F55EFE" w:rsidP="00C8187A">
      <w:pPr>
        <w:jc w:val="both"/>
        <w:rPr>
          <w:rFonts w:ascii="Arial" w:eastAsia="Times New Roman" w:hAnsi="Arial" w:cs="Arial"/>
          <w:color w:val="000000"/>
          <w:sz w:val="22"/>
          <w:szCs w:val="22"/>
        </w:rPr>
      </w:pPr>
      <w:bookmarkStart w:id="15" w:name="_Toc67502086"/>
      <w:r w:rsidRPr="00F55EFE">
        <w:rPr>
          <w:rFonts w:ascii="Arial" w:eastAsia="Times New Roman" w:hAnsi="Arial" w:cs="Arial"/>
          <w:color w:val="000000"/>
          <w:sz w:val="22"/>
          <w:szCs w:val="22"/>
        </w:rPr>
        <w:t xml:space="preserve">As of now, Singapore has made a </w:t>
      </w:r>
      <w:r w:rsidRPr="00506F08">
        <w:rPr>
          <w:rFonts w:ascii="Arial" w:eastAsia="Times New Roman" w:hAnsi="Arial" w:cs="Arial"/>
          <w:color w:val="000000"/>
          <w:sz w:val="22"/>
          <w:szCs w:val="22"/>
          <w:highlight w:val="yellow"/>
          <w:u w:val="single"/>
        </w:rPr>
        <w:t>standard</w:t>
      </w:r>
      <w:r w:rsidRPr="00F55EFE">
        <w:rPr>
          <w:rFonts w:ascii="Arial" w:eastAsia="Times New Roman" w:hAnsi="Arial" w:cs="Arial"/>
          <w:color w:val="000000"/>
          <w:sz w:val="22"/>
          <w:szCs w:val="22"/>
        </w:rPr>
        <w:t xml:space="preserve"> that covers the technical requirements not only for charger installations but also their functional needs and safety (Energy Market Authority, 2021). Thus, the next step forwards should be setting new fuel economy standards and providing </w:t>
      </w:r>
      <w:r w:rsidRPr="00506F08">
        <w:rPr>
          <w:rFonts w:ascii="Arial" w:eastAsia="Times New Roman" w:hAnsi="Arial" w:cs="Arial"/>
          <w:color w:val="000000"/>
          <w:sz w:val="22"/>
          <w:szCs w:val="22"/>
          <w:highlight w:val="yellow"/>
          <w:u w:val="single"/>
        </w:rPr>
        <w:t>subsidies</w:t>
      </w:r>
      <w:r w:rsidRPr="00F55EFE">
        <w:rPr>
          <w:rFonts w:ascii="Arial" w:eastAsia="Times New Roman" w:hAnsi="Arial" w:cs="Arial"/>
          <w:color w:val="000000"/>
          <w:sz w:val="22"/>
          <w:szCs w:val="22"/>
        </w:rPr>
        <w:t xml:space="preserve"> to boost the implementation of EVs. In Singapore, the Revised Carbon Emission-Based Vehicle Scheme (CEVS) has been introduced to impose surcharges or to grant rebates based on how clean the vehicles are (Land Transport Authority, 2021). This scheme could be expanded to grant rebates for EV vehicles based on their efficiency, i.e., the amount of range it can cover per kWh electricity. This would incentivise EV purchases and motivate companies to produce more efficient EVs.</w:t>
      </w:r>
    </w:p>
    <w:p w14:paraId="2DA8D1D8" w14:textId="77777777" w:rsidR="00F55EFE" w:rsidRPr="00F55EFE" w:rsidRDefault="00F55EFE" w:rsidP="00C8187A">
      <w:pPr>
        <w:jc w:val="both"/>
        <w:rPr>
          <w:rFonts w:ascii="Arial" w:eastAsia="Times New Roman" w:hAnsi="Arial" w:cs="Arial"/>
          <w:color w:val="000000"/>
          <w:sz w:val="22"/>
          <w:szCs w:val="22"/>
        </w:rPr>
      </w:pPr>
    </w:p>
    <w:p w14:paraId="40871EF0" w14:textId="7777777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With regards to subsidies, the government could invite established EV firms to </w:t>
      </w:r>
      <w:r w:rsidRPr="00506F08">
        <w:rPr>
          <w:rFonts w:ascii="Arial" w:eastAsia="Times New Roman" w:hAnsi="Arial" w:cs="Arial"/>
          <w:color w:val="000000"/>
          <w:sz w:val="22"/>
          <w:szCs w:val="22"/>
          <w:highlight w:val="yellow"/>
          <w:u w:val="single"/>
        </w:rPr>
        <w:t>bid</w:t>
      </w:r>
      <w:r w:rsidRPr="00F55EFE">
        <w:rPr>
          <w:rFonts w:ascii="Arial" w:eastAsia="Times New Roman" w:hAnsi="Arial" w:cs="Arial"/>
          <w:color w:val="000000"/>
          <w:sz w:val="22"/>
          <w:szCs w:val="22"/>
        </w:rPr>
        <w:t xml:space="preserve"> for their designs on novel technologies, e.g., swappable-batteries, along with their cost-benefit analysis. The contract winner(s) would sign an agreement with state-owned electricity distributors to ease communication between the vehicles and the grid, then commence their envisioned EV plan with the help of government </w:t>
      </w:r>
      <w:r w:rsidRPr="00506F08">
        <w:rPr>
          <w:rFonts w:ascii="Arial" w:eastAsia="Times New Roman" w:hAnsi="Arial" w:cs="Arial"/>
          <w:color w:val="000000"/>
          <w:sz w:val="22"/>
          <w:szCs w:val="22"/>
          <w:highlight w:val="yellow"/>
          <w:u w:val="single"/>
        </w:rPr>
        <w:t>subsidies and tax incentives</w:t>
      </w:r>
      <w:r w:rsidRPr="00F55EFE">
        <w:rPr>
          <w:rFonts w:ascii="Arial" w:eastAsia="Times New Roman" w:hAnsi="Arial" w:cs="Arial"/>
          <w:color w:val="000000"/>
          <w:sz w:val="22"/>
          <w:szCs w:val="22"/>
        </w:rPr>
        <w:t>.</w:t>
      </w:r>
    </w:p>
    <w:p w14:paraId="1ABAC45E" w14:textId="77777777" w:rsidR="00F55EFE" w:rsidRPr="00F55EFE" w:rsidRDefault="00F55EFE" w:rsidP="00C8187A">
      <w:pPr>
        <w:spacing w:after="240"/>
        <w:jc w:val="both"/>
        <w:rPr>
          <w:rFonts w:ascii="Arial" w:eastAsia="Times New Roman" w:hAnsi="Arial" w:cs="Arial"/>
          <w:sz w:val="22"/>
          <w:szCs w:val="22"/>
        </w:rPr>
      </w:pPr>
    </w:p>
    <w:p w14:paraId="50E38459" w14:textId="01BC8D0F" w:rsidR="00715936" w:rsidRPr="00101706" w:rsidRDefault="00715936" w:rsidP="00715936">
      <w:pPr>
        <w:pStyle w:val="Heading2"/>
        <w:rPr>
          <w:rFonts w:ascii="Arial" w:hAnsi="Arial" w:cs="Arial"/>
          <w:sz w:val="22"/>
          <w:szCs w:val="22"/>
        </w:rPr>
      </w:pPr>
      <w:bookmarkStart w:id="16" w:name="_Toc67512661"/>
      <w:bookmarkEnd w:id="15"/>
      <w:r w:rsidRPr="00101706">
        <w:rPr>
          <w:rFonts w:ascii="Arial" w:hAnsi="Arial" w:cs="Arial"/>
          <w:sz w:val="22"/>
          <w:szCs w:val="22"/>
        </w:rPr>
        <w:lastRenderedPageBreak/>
        <w:t>ASPECT 3: MARKET-READY PRODUCTS AND SERVICES</w:t>
      </w:r>
      <w:bookmarkEnd w:id="16"/>
    </w:p>
    <w:p w14:paraId="7DD2C4AB" w14:textId="0DCF56FB" w:rsidR="00F55EFE" w:rsidRPr="00F55EFE" w:rsidRDefault="00F55EFE" w:rsidP="00C8187A">
      <w:pPr>
        <w:pStyle w:val="NormalWeb"/>
        <w:spacing w:before="0" w:beforeAutospacing="0" w:after="0" w:afterAutospacing="0"/>
        <w:jc w:val="both"/>
        <w:rPr>
          <w:rFonts w:ascii="Arial" w:hAnsi="Arial" w:cs="Arial"/>
          <w:color w:val="000000"/>
          <w:sz w:val="22"/>
          <w:szCs w:val="22"/>
        </w:rPr>
      </w:pPr>
      <w:r w:rsidRPr="00F55EFE">
        <w:rPr>
          <w:rFonts w:ascii="Arial" w:hAnsi="Arial" w:cs="Arial"/>
          <w:color w:val="000000"/>
          <w:sz w:val="22"/>
          <w:szCs w:val="22"/>
        </w:rPr>
        <w:t xml:space="preserve">According to LTA (2018), the bus has the highest ridership compared to other public transports; hence, moving towards bus electromobility by increasing electric bus fleets will be a more sensible option to do. Currently, Singapore has only less than 100 electric buses in operation, with high costs being the main challenge. This could be mitigated by </w:t>
      </w:r>
      <w:r w:rsidRPr="00506F08">
        <w:rPr>
          <w:rFonts w:ascii="Arial" w:hAnsi="Arial" w:cs="Arial"/>
          <w:color w:val="000000"/>
          <w:sz w:val="22"/>
          <w:szCs w:val="22"/>
          <w:highlight w:val="yellow"/>
          <w:u w:val="single"/>
        </w:rPr>
        <w:t>planning retrofits for charging systems</w:t>
      </w:r>
      <w:r w:rsidRPr="00F55EFE">
        <w:rPr>
          <w:rFonts w:ascii="Arial" w:hAnsi="Arial" w:cs="Arial"/>
          <w:color w:val="000000"/>
          <w:sz w:val="22"/>
          <w:szCs w:val="22"/>
        </w:rPr>
        <w:t xml:space="preserve">, implementing TOU rates, and </w:t>
      </w:r>
      <w:r w:rsidRPr="00506F08">
        <w:rPr>
          <w:rFonts w:ascii="Arial" w:hAnsi="Arial" w:cs="Arial"/>
          <w:color w:val="000000"/>
          <w:sz w:val="22"/>
          <w:szCs w:val="22"/>
          <w:highlight w:val="yellow"/>
          <w:u w:val="single"/>
        </w:rPr>
        <w:t>dealing more with the energy management system instead of the site's electrical capacity</w:t>
      </w:r>
      <w:r w:rsidRPr="00F55EFE">
        <w:rPr>
          <w:rFonts w:ascii="Arial" w:hAnsi="Arial" w:cs="Arial"/>
          <w:color w:val="000000"/>
          <w:sz w:val="22"/>
          <w:szCs w:val="22"/>
        </w:rPr>
        <w:t>.</w:t>
      </w:r>
    </w:p>
    <w:p w14:paraId="19CFD0BB" w14:textId="77777777" w:rsidR="00F55EFE" w:rsidRPr="00F55EFE" w:rsidRDefault="00F55EFE" w:rsidP="00C8187A">
      <w:pPr>
        <w:jc w:val="both"/>
        <w:rPr>
          <w:rFonts w:ascii="Arial" w:eastAsia="Times New Roman" w:hAnsi="Arial" w:cs="Arial"/>
          <w:color w:val="000000"/>
          <w:sz w:val="22"/>
          <w:szCs w:val="22"/>
        </w:rPr>
      </w:pPr>
    </w:p>
    <w:p w14:paraId="54874C1B" w14:textId="7777777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Besides electric buses, well-distributed charging stations are also needed. Hoover et al. (2021) mentioned that across China, the US, UK, and the EU-27, the total charge-point units needed by 2025 is estimated to be 22 million to 27 million, and a total of 55 million units will be needed by 2030.  Hence, placing </w:t>
      </w:r>
      <w:r w:rsidRPr="00506F08">
        <w:rPr>
          <w:rFonts w:ascii="Arial" w:eastAsia="Times New Roman" w:hAnsi="Arial" w:cs="Arial"/>
          <w:color w:val="000000"/>
          <w:sz w:val="22"/>
          <w:szCs w:val="22"/>
          <w:highlight w:val="yellow"/>
          <w:u w:val="single"/>
        </w:rPr>
        <w:t>charging systems on commercial areas</w:t>
      </w:r>
      <w:r w:rsidRPr="00F55EFE">
        <w:rPr>
          <w:rFonts w:ascii="Arial" w:eastAsia="Times New Roman" w:hAnsi="Arial" w:cs="Arial"/>
          <w:color w:val="000000"/>
          <w:sz w:val="22"/>
          <w:szCs w:val="22"/>
        </w:rPr>
        <w:t xml:space="preserve"> in Singapore, such as malls and office buildings, would be very strategic to meet charging stations' demand ten years down the road.</w:t>
      </w:r>
    </w:p>
    <w:p w14:paraId="7D87D7B5" w14:textId="697D9960" w:rsidR="00A62BE0" w:rsidRPr="00F55EFE" w:rsidRDefault="00A62BE0" w:rsidP="00C8187A">
      <w:pPr>
        <w:pStyle w:val="Heading2"/>
        <w:jc w:val="both"/>
        <w:rPr>
          <w:rFonts w:ascii="Arial" w:eastAsia="Times New Roman" w:hAnsi="Arial" w:cs="Arial"/>
          <w:color w:val="000000"/>
          <w:sz w:val="22"/>
          <w:szCs w:val="22"/>
          <w:shd w:val="clear" w:color="auto" w:fill="FFFFFF"/>
        </w:rPr>
      </w:pPr>
    </w:p>
    <w:p w14:paraId="06541A7B" w14:textId="11C2BC5C" w:rsidR="00A62BE0" w:rsidRPr="00F55EFE" w:rsidRDefault="00A62BE0" w:rsidP="00C8187A">
      <w:pPr>
        <w:pStyle w:val="Heading2"/>
        <w:jc w:val="both"/>
        <w:rPr>
          <w:rFonts w:ascii="Arial" w:hAnsi="Arial" w:cs="Arial"/>
          <w:sz w:val="22"/>
          <w:szCs w:val="22"/>
        </w:rPr>
      </w:pPr>
      <w:bookmarkStart w:id="17" w:name="_Toc67502088"/>
      <w:bookmarkStart w:id="18" w:name="_Toc67512662"/>
      <w:r w:rsidRPr="00F55EFE">
        <w:rPr>
          <w:rFonts w:ascii="Arial" w:hAnsi="Arial" w:cs="Arial"/>
          <w:sz w:val="22"/>
          <w:szCs w:val="22"/>
        </w:rPr>
        <w:t>ASPECT 4: SOCIO-ECONOMIC IMPACTS</w:t>
      </w:r>
      <w:bookmarkEnd w:id="17"/>
      <w:bookmarkEnd w:id="18"/>
    </w:p>
    <w:p w14:paraId="3D0F19F3" w14:textId="77777777" w:rsidR="00F55EFE" w:rsidRPr="00F55EFE" w:rsidRDefault="00F55EFE" w:rsidP="00C8187A">
      <w:pPr>
        <w:jc w:val="both"/>
        <w:rPr>
          <w:rFonts w:ascii="Arial" w:eastAsia="Times New Roman" w:hAnsi="Arial" w:cs="Arial"/>
          <w:color w:val="000000"/>
          <w:sz w:val="22"/>
          <w:szCs w:val="22"/>
        </w:rPr>
      </w:pPr>
      <w:bookmarkStart w:id="19" w:name="_Toc67502090"/>
      <w:r w:rsidRPr="00F55EFE">
        <w:rPr>
          <w:rFonts w:ascii="Arial" w:eastAsia="Times New Roman" w:hAnsi="Arial" w:cs="Arial"/>
          <w:color w:val="000000"/>
          <w:sz w:val="22"/>
          <w:szCs w:val="22"/>
        </w:rPr>
        <w:t xml:space="preserve">To mitigate the major impacts of transition towards EVs, Singapore may refer to Thailand's policies which allow non-EV companies to apply for licenses </w:t>
      </w:r>
      <w:proofErr w:type="gramStart"/>
      <w:r w:rsidRPr="00F55EFE">
        <w:rPr>
          <w:rFonts w:ascii="Arial" w:eastAsia="Times New Roman" w:hAnsi="Arial" w:cs="Arial"/>
          <w:color w:val="000000"/>
          <w:sz w:val="22"/>
          <w:szCs w:val="22"/>
        </w:rPr>
        <w:t>in order to</w:t>
      </w:r>
      <w:proofErr w:type="gramEnd"/>
      <w:r w:rsidRPr="00F55EFE">
        <w:rPr>
          <w:rFonts w:ascii="Arial" w:eastAsia="Times New Roman" w:hAnsi="Arial" w:cs="Arial"/>
          <w:color w:val="000000"/>
          <w:sz w:val="22"/>
          <w:szCs w:val="22"/>
        </w:rPr>
        <w:t xml:space="preserve"> obtain </w:t>
      </w:r>
      <w:r w:rsidRPr="00506F08">
        <w:rPr>
          <w:rFonts w:ascii="Arial" w:eastAsia="Times New Roman" w:hAnsi="Arial" w:cs="Arial"/>
          <w:color w:val="000000"/>
          <w:sz w:val="22"/>
          <w:szCs w:val="22"/>
          <w:highlight w:val="yellow"/>
          <w:u w:val="single"/>
        </w:rPr>
        <w:t>investment benefits</w:t>
      </w:r>
      <w:r w:rsidRPr="00F55EFE">
        <w:rPr>
          <w:rFonts w:ascii="Arial" w:eastAsia="Times New Roman" w:hAnsi="Arial" w:cs="Arial"/>
          <w:color w:val="000000"/>
          <w:sz w:val="22"/>
          <w:szCs w:val="22"/>
        </w:rPr>
        <w:t xml:space="preserve"> from the Board of Investment, such as tax exemptions for a period of time or zero import duty (Thananusak et al., 2020). Nevertheless, the government should also monitor that the funding is strictly used for further research and operational EV development purposes.</w:t>
      </w:r>
    </w:p>
    <w:p w14:paraId="07634E55" w14:textId="77777777" w:rsidR="00F55EFE" w:rsidRPr="00F55EFE" w:rsidRDefault="00F55EFE" w:rsidP="00C8187A">
      <w:pPr>
        <w:jc w:val="both"/>
        <w:rPr>
          <w:rFonts w:ascii="Arial" w:eastAsia="Times New Roman" w:hAnsi="Arial" w:cs="Arial"/>
          <w:color w:val="000000"/>
          <w:sz w:val="22"/>
          <w:szCs w:val="22"/>
        </w:rPr>
      </w:pPr>
    </w:p>
    <w:p w14:paraId="72960DDC" w14:textId="2499C0D8" w:rsid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Such funding can also be used to facilitate </w:t>
      </w:r>
      <w:r w:rsidRPr="00506F08">
        <w:rPr>
          <w:rFonts w:ascii="Arial" w:eastAsia="Times New Roman" w:hAnsi="Arial" w:cs="Arial"/>
          <w:color w:val="000000"/>
          <w:sz w:val="22"/>
          <w:szCs w:val="22"/>
          <w:highlight w:val="yellow"/>
          <w:u w:val="single"/>
        </w:rPr>
        <w:t>training of the workforces</w:t>
      </w:r>
      <w:r w:rsidRPr="00F55EFE">
        <w:rPr>
          <w:rFonts w:ascii="Arial" w:eastAsia="Times New Roman" w:hAnsi="Arial" w:cs="Arial"/>
          <w:color w:val="000000"/>
          <w:sz w:val="22"/>
          <w:szCs w:val="22"/>
        </w:rPr>
        <w:t xml:space="preserve"> transitioning from non-EV to EV industries. Currently, giant oil companies like Chevron, Shell, and Statoil ASA are making efforts to change their business models towards electromobility accommodation</w:t>
      </w:r>
      <w:proofErr w:type="gramStart"/>
      <w:r w:rsidRPr="00F55EFE">
        <w:rPr>
          <w:rFonts w:ascii="Arial" w:eastAsia="Times New Roman" w:hAnsi="Arial" w:cs="Arial"/>
          <w:color w:val="000000"/>
          <w:sz w:val="22"/>
          <w:szCs w:val="22"/>
        </w:rPr>
        <w:t>, in particular, charging</w:t>
      </w:r>
      <w:proofErr w:type="gramEnd"/>
      <w:r w:rsidRPr="00F55EFE">
        <w:rPr>
          <w:rFonts w:ascii="Arial" w:eastAsia="Times New Roman" w:hAnsi="Arial" w:cs="Arial"/>
          <w:color w:val="000000"/>
          <w:sz w:val="22"/>
          <w:szCs w:val="22"/>
        </w:rPr>
        <w:t xml:space="preserve"> stations expansion (Lambert, 2019; </w:t>
      </w:r>
      <w:proofErr w:type="spellStart"/>
      <w:r w:rsidRPr="00F55EFE">
        <w:rPr>
          <w:rFonts w:ascii="Arial" w:eastAsia="Times New Roman" w:hAnsi="Arial" w:cs="Arial"/>
          <w:color w:val="000000"/>
          <w:sz w:val="22"/>
          <w:szCs w:val="22"/>
        </w:rPr>
        <w:t>Shieber</w:t>
      </w:r>
      <w:proofErr w:type="spellEnd"/>
      <w:r w:rsidRPr="00F55EFE">
        <w:rPr>
          <w:rFonts w:ascii="Arial" w:eastAsia="Times New Roman" w:hAnsi="Arial" w:cs="Arial"/>
          <w:color w:val="000000"/>
          <w:sz w:val="22"/>
          <w:szCs w:val="22"/>
        </w:rPr>
        <w:t xml:space="preserve"> 2021) and investing in large operators of EV charging networks like ChargePoint Inc (Shell Acquisition, 2017); hence, workforce training will be needed. For further details regarding the workforce training, Singapore may want to refer to California's Employment Training Panel (ETP), which is a government-sponsored in-house training program, or American River College, which offers a pre-apprenticeship certificate in the future energy sector (Chandler, 2016). Such in-house training programs can then be integrated with the current </w:t>
      </w:r>
      <w:proofErr w:type="spellStart"/>
      <w:r w:rsidRPr="00F55EFE">
        <w:rPr>
          <w:rFonts w:ascii="Arial" w:eastAsia="Times New Roman" w:hAnsi="Arial" w:cs="Arial"/>
          <w:color w:val="000000"/>
          <w:sz w:val="22"/>
          <w:szCs w:val="22"/>
        </w:rPr>
        <w:t>SGUnited</w:t>
      </w:r>
      <w:proofErr w:type="spellEnd"/>
      <w:r w:rsidRPr="00F55EFE">
        <w:rPr>
          <w:rFonts w:ascii="Arial" w:eastAsia="Times New Roman" w:hAnsi="Arial" w:cs="Arial"/>
          <w:color w:val="000000"/>
          <w:sz w:val="22"/>
          <w:szCs w:val="22"/>
        </w:rPr>
        <w:t xml:space="preserve"> Traineeship Program.</w:t>
      </w:r>
      <w:r>
        <w:rPr>
          <w:rFonts w:ascii="Arial" w:eastAsia="Times New Roman" w:hAnsi="Arial" w:cs="Arial"/>
          <w:color w:val="000000"/>
          <w:sz w:val="22"/>
          <w:szCs w:val="22"/>
        </w:rPr>
        <w:t xml:space="preserve"> </w:t>
      </w:r>
      <w:bookmarkEnd w:id="19"/>
    </w:p>
    <w:p w14:paraId="3D49299D" w14:textId="569E834C" w:rsidR="00F55EFE" w:rsidRPr="00ED77DC" w:rsidRDefault="00F55EFE" w:rsidP="006237D5">
      <w:pPr>
        <w:pStyle w:val="Heading1"/>
        <w:spacing w:before="100" w:beforeAutospacing="1" w:after="240"/>
        <w:jc w:val="both"/>
        <w:rPr>
          <w:rFonts w:ascii="Arial" w:eastAsia="Times New Roman" w:hAnsi="Arial" w:cs="Arial"/>
          <w:sz w:val="28"/>
          <w:szCs w:val="28"/>
        </w:rPr>
      </w:pPr>
      <w:bookmarkStart w:id="20" w:name="_Toc67512663"/>
      <w:r w:rsidRPr="00ED77DC">
        <w:rPr>
          <w:rFonts w:ascii="Arial" w:eastAsia="Times New Roman" w:hAnsi="Arial" w:cs="Arial"/>
          <w:sz w:val="28"/>
          <w:szCs w:val="28"/>
        </w:rPr>
        <w:t>DISCUSSION</w:t>
      </w:r>
      <w:bookmarkEnd w:id="20"/>
      <w:r w:rsidRPr="00ED77DC">
        <w:rPr>
          <w:rFonts w:ascii="Arial" w:eastAsia="Times New Roman" w:hAnsi="Arial" w:cs="Arial"/>
          <w:sz w:val="28"/>
          <w:szCs w:val="28"/>
        </w:rPr>
        <w:t xml:space="preserve"> </w:t>
      </w:r>
    </w:p>
    <w:p w14:paraId="5E0311D4" w14:textId="019E9F12" w:rsidR="00F55EFE" w:rsidRPr="00F55EFE" w:rsidRDefault="00F55EFE" w:rsidP="005B019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To pursue the 2030 Green Plan, the Singapore government may be keen on passing regulations and </w:t>
      </w:r>
      <w:r w:rsidRPr="00506F08">
        <w:rPr>
          <w:rFonts w:ascii="Arial" w:eastAsia="Times New Roman" w:hAnsi="Arial" w:cs="Arial"/>
          <w:color w:val="000000"/>
          <w:sz w:val="22"/>
          <w:szCs w:val="22"/>
          <w:highlight w:val="yellow"/>
          <w:u w:val="single"/>
        </w:rPr>
        <w:t>making contracts with one of China's EV giants</w:t>
      </w:r>
      <w:r w:rsidRPr="00F55EFE">
        <w:rPr>
          <w:rFonts w:ascii="Arial" w:eastAsia="Times New Roman" w:hAnsi="Arial" w:cs="Arial"/>
          <w:color w:val="000000"/>
          <w:sz w:val="22"/>
          <w:szCs w:val="22"/>
        </w:rPr>
        <w:t xml:space="preserve"> to impose a standardized battery-swapping design specification, mechanism, and safety codes for different vehicle classifications. As of now, battery swapping technology is still a brand-new technology with numerous implementation challenges yet to be solved, for instance, </w:t>
      </w:r>
      <w:r w:rsidRPr="00506F08">
        <w:rPr>
          <w:rFonts w:ascii="Arial" w:eastAsia="Times New Roman" w:hAnsi="Arial" w:cs="Arial"/>
          <w:color w:val="000000"/>
          <w:sz w:val="22"/>
          <w:szCs w:val="22"/>
          <w:highlight w:val="yellow"/>
          <w:u w:val="single"/>
        </w:rPr>
        <w:t>land resource limitation, high cost of infrastructure, and gradual market penetration</w:t>
      </w:r>
      <w:r w:rsidRPr="00F55EFE">
        <w:rPr>
          <w:rFonts w:ascii="Arial" w:eastAsia="Times New Roman" w:hAnsi="Arial" w:cs="Arial"/>
          <w:color w:val="000000"/>
          <w:sz w:val="22"/>
          <w:szCs w:val="22"/>
        </w:rPr>
        <w:t xml:space="preserve">. It is of utmost importance to have </w:t>
      </w:r>
      <w:r w:rsidRPr="00506F08">
        <w:rPr>
          <w:rFonts w:ascii="Arial" w:eastAsia="Times New Roman" w:hAnsi="Arial" w:cs="Arial"/>
          <w:color w:val="000000"/>
          <w:sz w:val="22"/>
          <w:szCs w:val="22"/>
          <w:highlight w:val="yellow"/>
          <w:u w:val="single"/>
        </w:rPr>
        <w:t>one or more fixed government-approved standard designs</w:t>
      </w:r>
      <w:r w:rsidRPr="00F55EFE">
        <w:rPr>
          <w:rFonts w:ascii="Arial" w:eastAsia="Times New Roman" w:hAnsi="Arial" w:cs="Arial"/>
          <w:color w:val="000000"/>
          <w:sz w:val="22"/>
          <w:szCs w:val="22"/>
        </w:rPr>
        <w:t xml:space="preserve"> for battery swapping models by implementing an </w:t>
      </w:r>
      <w:r w:rsidRPr="00506F08">
        <w:rPr>
          <w:rFonts w:ascii="Arial" w:eastAsia="Times New Roman" w:hAnsi="Arial" w:cs="Arial"/>
          <w:color w:val="000000"/>
          <w:sz w:val="22"/>
          <w:szCs w:val="22"/>
          <w:highlight w:val="yellow"/>
          <w:u w:val="single"/>
        </w:rPr>
        <w:t>exclusive contract bidding</w:t>
      </w:r>
      <w:r w:rsidRPr="00F55EFE">
        <w:rPr>
          <w:rFonts w:ascii="Arial" w:eastAsia="Times New Roman" w:hAnsi="Arial" w:cs="Arial"/>
          <w:color w:val="000000"/>
          <w:sz w:val="22"/>
          <w:szCs w:val="22"/>
        </w:rPr>
        <w:t xml:space="preserve"> as mentioned in the "Regulatory Frameworks" section of our solution. This standardization will not only break down complex standards to simpler ones, but also boost each candidate to expand their charging infrastructure across the country.</w:t>
      </w:r>
    </w:p>
    <w:p w14:paraId="36CFD00D" w14:textId="77777777" w:rsidR="00F55EFE" w:rsidRPr="00F55EFE" w:rsidRDefault="00F55EFE" w:rsidP="00C8187A">
      <w:pPr>
        <w:jc w:val="both"/>
        <w:rPr>
          <w:rFonts w:ascii="Arial" w:eastAsia="Times New Roman" w:hAnsi="Arial" w:cs="Arial"/>
          <w:color w:val="000000"/>
          <w:sz w:val="22"/>
          <w:szCs w:val="22"/>
        </w:rPr>
      </w:pPr>
    </w:p>
    <w:p w14:paraId="5D6D5AFD" w14:textId="7777777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Nevertheless, there are other factors that the government team must consider besides technical consensus: safety, cost, and social influence. Such examinations may require a prolonged period of time to perform. According to the "History of Singapore" (2018), the study to decide on adding MRT to the public transportation system took ten years from conceptualization to approval. When </w:t>
      </w:r>
      <w:r w:rsidRPr="00F55EFE">
        <w:rPr>
          <w:rFonts w:ascii="Arial" w:eastAsia="Times New Roman" w:hAnsi="Arial" w:cs="Arial"/>
          <w:color w:val="000000"/>
          <w:sz w:val="22"/>
          <w:szCs w:val="22"/>
        </w:rPr>
        <w:lastRenderedPageBreak/>
        <w:t>such a long period of time is needed, there is a possibility that better battery range and price, coupled with faster charging time, may cause battery-swapping technology just to be an idea of the past.</w:t>
      </w:r>
    </w:p>
    <w:p w14:paraId="474874B3" w14:textId="77777777" w:rsidR="00F55EFE" w:rsidRPr="00F55EFE" w:rsidRDefault="00F55EFE" w:rsidP="00C8187A">
      <w:pPr>
        <w:jc w:val="both"/>
        <w:rPr>
          <w:rFonts w:ascii="Arial" w:eastAsia="Times New Roman" w:hAnsi="Arial" w:cs="Arial"/>
          <w:color w:val="000000"/>
          <w:sz w:val="22"/>
          <w:szCs w:val="22"/>
        </w:rPr>
      </w:pPr>
    </w:p>
    <w:p w14:paraId="41B1DA3C" w14:textId="7777777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The importance of an </w:t>
      </w:r>
      <w:r w:rsidRPr="00506F08">
        <w:rPr>
          <w:rFonts w:ascii="Arial" w:eastAsia="Times New Roman" w:hAnsi="Arial" w:cs="Arial"/>
          <w:color w:val="000000"/>
          <w:sz w:val="22"/>
          <w:szCs w:val="22"/>
          <w:highlight w:val="yellow"/>
          <w:u w:val="single"/>
        </w:rPr>
        <w:t>integrated smart charging system</w:t>
      </w:r>
      <w:r w:rsidRPr="00F55EFE">
        <w:rPr>
          <w:rFonts w:ascii="Arial" w:eastAsia="Times New Roman" w:hAnsi="Arial" w:cs="Arial"/>
          <w:color w:val="000000"/>
          <w:sz w:val="22"/>
          <w:szCs w:val="22"/>
        </w:rPr>
        <w:t xml:space="preserve"> for fast &amp; conventional chargers must also be stressed as it plays a crucial role in energy management. One way energy intake may be regulated better is by having the electric supplier and charging station providers rely on technologies, such as EV identification and smart meter gateways. Furthermore, tangible energy intake data provided by the smart system will help the government to persuade necessary changes in charging habits in order to ease the strain on power consumption. It is also expected that EVs will be able to reverse-charge to the power grid in succeeding generations.</w:t>
      </w:r>
    </w:p>
    <w:p w14:paraId="5F0DF627" w14:textId="77777777" w:rsidR="00F55EFE" w:rsidRPr="00F55EFE" w:rsidRDefault="00F55EFE" w:rsidP="00C8187A">
      <w:pPr>
        <w:jc w:val="both"/>
        <w:rPr>
          <w:rFonts w:ascii="Arial" w:eastAsia="Times New Roman" w:hAnsi="Arial" w:cs="Arial"/>
          <w:color w:val="000000"/>
          <w:sz w:val="22"/>
          <w:szCs w:val="22"/>
        </w:rPr>
      </w:pPr>
    </w:p>
    <w:p w14:paraId="35A92583" w14:textId="7777777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Apart from the technical limitations circulating the integration of EV to Singapore, the social and economic impact of the implementation plays a crucial role in considerations as well. Major key players in the economy - companies such as oil and automotive - whose market depends on traditional gasoline automotive, might need some time and financial support from the government in changing their business models during the transition.</w:t>
      </w:r>
    </w:p>
    <w:p w14:paraId="3510E948" w14:textId="77777777" w:rsidR="00F55EFE" w:rsidRPr="00F55EFE" w:rsidRDefault="00F55EFE" w:rsidP="00C8187A">
      <w:pPr>
        <w:jc w:val="both"/>
        <w:rPr>
          <w:rFonts w:ascii="Arial" w:eastAsia="Times New Roman" w:hAnsi="Arial" w:cs="Arial"/>
          <w:color w:val="000000"/>
          <w:sz w:val="22"/>
          <w:szCs w:val="22"/>
        </w:rPr>
      </w:pPr>
    </w:p>
    <w:p w14:paraId="64D24F10" w14:textId="7777777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In view of the workforce perspective, skills and work patterns for both non-EV and EV companies will significantly differ. Consequently, the transitioning industry workers ought to be equipped with relevant skills required by the EV industry through training programs funded by the government. Such training programs can be easily integrated into the current </w:t>
      </w:r>
      <w:proofErr w:type="spellStart"/>
      <w:r w:rsidRPr="00F55EFE">
        <w:rPr>
          <w:rFonts w:ascii="Arial" w:eastAsia="Times New Roman" w:hAnsi="Arial" w:cs="Arial"/>
          <w:color w:val="000000"/>
          <w:sz w:val="22"/>
          <w:szCs w:val="22"/>
        </w:rPr>
        <w:t>SGUnited</w:t>
      </w:r>
      <w:proofErr w:type="spellEnd"/>
      <w:r w:rsidRPr="00F55EFE">
        <w:rPr>
          <w:rFonts w:ascii="Arial" w:eastAsia="Times New Roman" w:hAnsi="Arial" w:cs="Arial"/>
          <w:color w:val="000000"/>
          <w:sz w:val="22"/>
          <w:szCs w:val="22"/>
        </w:rPr>
        <w:t xml:space="preserve"> Traineeship programme, making it more likely to succeed.</w:t>
      </w:r>
    </w:p>
    <w:p w14:paraId="733005D5" w14:textId="77777777" w:rsidR="00F55EFE" w:rsidRPr="00F55EFE" w:rsidRDefault="00F55EFE" w:rsidP="00C8187A">
      <w:pPr>
        <w:jc w:val="both"/>
        <w:rPr>
          <w:rFonts w:ascii="Arial" w:eastAsia="Times New Roman" w:hAnsi="Arial" w:cs="Arial"/>
          <w:color w:val="000000"/>
          <w:sz w:val="22"/>
          <w:szCs w:val="22"/>
        </w:rPr>
      </w:pPr>
    </w:p>
    <w:p w14:paraId="145CA13C" w14:textId="77777777" w:rsidR="00F55EFE" w:rsidRP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 xml:space="preserve">To put everything into perspective, it is worth examining the conversion process of the entire Singapore public busses into electric models. As the current bus system has already matured, a transition to electric fleets will undoubtedly present some problems mentioned in the previous sections of the discussion. On the one hand, there will be major transformations of charging stations, service </w:t>
      </w:r>
      <w:proofErr w:type="spellStart"/>
      <w:r w:rsidRPr="00F55EFE">
        <w:rPr>
          <w:rFonts w:ascii="Arial" w:eastAsia="Times New Roman" w:hAnsi="Arial" w:cs="Arial"/>
          <w:color w:val="000000"/>
          <w:sz w:val="22"/>
          <w:szCs w:val="22"/>
        </w:rPr>
        <w:t>centers</w:t>
      </w:r>
      <w:proofErr w:type="spellEnd"/>
      <w:r w:rsidRPr="00F55EFE">
        <w:rPr>
          <w:rFonts w:ascii="Arial" w:eastAsia="Times New Roman" w:hAnsi="Arial" w:cs="Arial"/>
          <w:color w:val="000000"/>
          <w:sz w:val="22"/>
          <w:szCs w:val="22"/>
        </w:rPr>
        <w:t>, spare parts, and maintenance facilities. On the other hand, there is the fact that an estimation of $110 billion to $180 billion must be invested from 2020 to 2030 to support the global demand for EV charging stations, including on-site commercial charging stations.</w:t>
      </w:r>
    </w:p>
    <w:p w14:paraId="40A24128" w14:textId="77777777" w:rsidR="00F55EFE" w:rsidRPr="00F55EFE" w:rsidRDefault="00F55EFE" w:rsidP="00C8187A">
      <w:pPr>
        <w:jc w:val="both"/>
        <w:rPr>
          <w:rFonts w:ascii="Arial" w:eastAsia="Times New Roman" w:hAnsi="Arial" w:cs="Arial"/>
          <w:color w:val="000000"/>
          <w:sz w:val="22"/>
          <w:szCs w:val="22"/>
        </w:rPr>
      </w:pPr>
    </w:p>
    <w:p w14:paraId="4E471D02" w14:textId="77777777" w:rsidR="00F55EFE" w:rsidRDefault="00F55EFE" w:rsidP="00C8187A">
      <w:pPr>
        <w:jc w:val="both"/>
        <w:rPr>
          <w:rFonts w:ascii="Arial" w:eastAsia="Times New Roman" w:hAnsi="Arial" w:cs="Arial"/>
          <w:color w:val="000000"/>
          <w:sz w:val="22"/>
          <w:szCs w:val="22"/>
        </w:rPr>
      </w:pPr>
      <w:r w:rsidRPr="00F55EFE">
        <w:rPr>
          <w:rFonts w:ascii="Arial" w:eastAsia="Times New Roman" w:hAnsi="Arial" w:cs="Arial"/>
          <w:color w:val="000000"/>
          <w:sz w:val="22"/>
          <w:szCs w:val="22"/>
        </w:rPr>
        <w:t>Despite these challenges, electric buses still should be implemented first, as buses make up the largest portion of public transportation ridership in Singapore. Moreover, the bus system has relatively fixed routes and charging patterns, which allows for easier implementation of TOU and smart charging systems. </w:t>
      </w:r>
      <w:bookmarkStart w:id="21" w:name="_Toc67502091"/>
    </w:p>
    <w:p w14:paraId="7B2B2696" w14:textId="77777777" w:rsidR="00F55EFE" w:rsidRDefault="00F55EFE" w:rsidP="00C8187A">
      <w:pPr>
        <w:jc w:val="both"/>
        <w:rPr>
          <w:rFonts w:ascii="Arial" w:eastAsia="Times New Roman" w:hAnsi="Arial" w:cs="Arial"/>
          <w:color w:val="000000"/>
          <w:sz w:val="22"/>
          <w:szCs w:val="22"/>
        </w:rPr>
      </w:pPr>
    </w:p>
    <w:p w14:paraId="272ABE49" w14:textId="36B008E8" w:rsidR="00F55EFE" w:rsidRPr="00E62211" w:rsidRDefault="00A62BE0" w:rsidP="00E62211">
      <w:pPr>
        <w:pStyle w:val="Heading1"/>
        <w:spacing w:after="240"/>
        <w:rPr>
          <w:rFonts w:ascii="Arial" w:hAnsi="Arial" w:cs="Arial"/>
        </w:rPr>
      </w:pPr>
      <w:r w:rsidRPr="00E62211">
        <w:rPr>
          <w:rFonts w:ascii="Arial" w:hAnsi="Arial" w:cs="Arial"/>
          <w:sz w:val="28"/>
          <w:szCs w:val="28"/>
        </w:rPr>
        <w:t>CONCLUSION</w:t>
      </w:r>
      <w:bookmarkEnd w:id="21"/>
    </w:p>
    <w:p w14:paraId="7A2973B3" w14:textId="056ACB9F" w:rsidR="0086234E" w:rsidRDefault="00F55EFE" w:rsidP="00C8187A">
      <w:pPr>
        <w:jc w:val="both"/>
        <w:rPr>
          <w:rFonts w:ascii="Arial" w:hAnsi="Arial" w:cs="Arial"/>
          <w:color w:val="000000"/>
          <w:sz w:val="22"/>
          <w:szCs w:val="22"/>
        </w:rPr>
      </w:pPr>
      <w:r w:rsidRPr="00F55EFE">
        <w:rPr>
          <w:rFonts w:ascii="Arial" w:hAnsi="Arial" w:cs="Arial"/>
          <w:color w:val="000000"/>
          <w:sz w:val="22"/>
          <w:szCs w:val="22"/>
        </w:rPr>
        <w:t xml:space="preserve">A complete transition to cleaner-energy vehicles would be a remarkable feat for Singapore. Some challenges remain on the horizon, such as insufficient charging infrastructure, long charging time, and numerous socio-economic side effects for such transition. Regardless, we remain optimistic in technological breakthroughs, namely </w:t>
      </w:r>
      <w:r w:rsidRPr="00B70C1B">
        <w:rPr>
          <w:rFonts w:ascii="Arial" w:hAnsi="Arial" w:cs="Arial"/>
          <w:color w:val="000000"/>
          <w:sz w:val="22"/>
          <w:szCs w:val="22"/>
          <w:highlight w:val="yellow"/>
          <w:u w:val="single"/>
        </w:rPr>
        <w:t>swappable batteries, smart charging, and strategic energy management planning</w:t>
      </w:r>
      <w:r w:rsidRPr="00F55EFE">
        <w:rPr>
          <w:rFonts w:ascii="Arial" w:hAnsi="Arial" w:cs="Arial"/>
          <w:color w:val="000000"/>
          <w:sz w:val="22"/>
          <w:szCs w:val="22"/>
        </w:rPr>
        <w:t xml:space="preserve">. These innovations coupled with </w:t>
      </w:r>
      <w:r w:rsidRPr="00B70C1B">
        <w:rPr>
          <w:rFonts w:ascii="Arial" w:hAnsi="Arial" w:cs="Arial"/>
          <w:color w:val="000000"/>
          <w:sz w:val="22"/>
          <w:szCs w:val="22"/>
          <w:highlight w:val="yellow"/>
          <w:u w:val="single"/>
        </w:rPr>
        <w:t>effective regulatory frameworks</w:t>
      </w:r>
      <w:r w:rsidRPr="00F55EFE">
        <w:rPr>
          <w:rFonts w:ascii="Arial" w:hAnsi="Arial" w:cs="Arial"/>
          <w:color w:val="000000"/>
          <w:sz w:val="22"/>
          <w:szCs w:val="22"/>
        </w:rPr>
        <w:t xml:space="preserve"> will eventually catalyse electromobility penetration, reducing any disruptive impacts we will surely encounter in the process.</w:t>
      </w:r>
    </w:p>
    <w:p w14:paraId="6D1244D0" w14:textId="77777777" w:rsidR="0086234E" w:rsidRDefault="0086234E">
      <w:pPr>
        <w:rPr>
          <w:rFonts w:ascii="Arial" w:hAnsi="Arial" w:cs="Arial"/>
          <w:color w:val="000000"/>
          <w:sz w:val="22"/>
          <w:szCs w:val="22"/>
        </w:rPr>
      </w:pPr>
      <w:r>
        <w:rPr>
          <w:rFonts w:ascii="Arial" w:hAnsi="Arial" w:cs="Arial"/>
          <w:color w:val="000000"/>
          <w:sz w:val="22"/>
          <w:szCs w:val="22"/>
        </w:rPr>
        <w:br w:type="page"/>
      </w:r>
    </w:p>
    <w:sdt>
      <w:sdtPr>
        <w:rPr>
          <w:rFonts w:asciiTheme="minorHAnsi" w:eastAsiaTheme="minorEastAsia" w:hAnsiTheme="minorHAnsi" w:cstheme="minorBidi"/>
          <w:b/>
          <w:bCs/>
          <w:color w:val="auto"/>
          <w:sz w:val="24"/>
          <w:szCs w:val="24"/>
        </w:rPr>
        <w:id w:val="62297111"/>
        <w:docPartObj>
          <w:docPartGallery w:val="Bibliographies"/>
          <w:docPartUnique/>
        </w:docPartObj>
      </w:sdtPr>
      <w:sdtEndPr>
        <w:rPr>
          <w:rFonts w:eastAsiaTheme="minorHAnsi"/>
          <w:b w:val="0"/>
          <w:bCs w:val="0"/>
        </w:rPr>
      </w:sdtEndPr>
      <w:sdtContent>
        <w:bookmarkStart w:id="22" w:name="_Toc67502092" w:displacedByCustomXml="prev"/>
        <w:bookmarkStart w:id="23" w:name="_Toc67512664" w:displacedByCustomXml="prev"/>
        <w:p w14:paraId="5F4468D5" w14:textId="1D33D881" w:rsidR="0086234E" w:rsidRPr="00ED77DC" w:rsidRDefault="0086234E" w:rsidP="005B019A">
          <w:pPr>
            <w:pStyle w:val="Heading1"/>
            <w:spacing w:before="100" w:beforeAutospacing="1"/>
            <w:rPr>
              <w:rFonts w:ascii="Arial" w:hAnsi="Arial" w:cs="Arial"/>
              <w:sz w:val="28"/>
              <w:szCs w:val="28"/>
            </w:rPr>
          </w:pPr>
          <w:r w:rsidRPr="00ED77DC">
            <w:rPr>
              <w:rFonts w:ascii="Arial" w:hAnsi="Arial" w:cs="Arial"/>
              <w:sz w:val="28"/>
              <w:szCs w:val="28"/>
            </w:rPr>
            <w:t>REFERENCES</w:t>
          </w:r>
          <w:bookmarkEnd w:id="23"/>
          <w:bookmarkEnd w:id="22"/>
        </w:p>
        <w:p w14:paraId="637EDCAA" w14:textId="52D9F086" w:rsidR="0086234E" w:rsidRPr="0086234E" w:rsidRDefault="0086234E" w:rsidP="0086234E"/>
        <w:p w14:paraId="5E768FD7" w14:textId="1D764A48"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Baldwin, R. (2021, February 19). </w:t>
          </w:r>
          <w:r w:rsidRPr="00806D09">
            <w:rPr>
              <w:rFonts w:ascii="Arial" w:hAnsi="Arial" w:cs="Arial"/>
              <w:i/>
              <w:iCs/>
              <w:noProof/>
              <w:sz w:val="22"/>
              <w:szCs w:val="22"/>
            </w:rPr>
            <w:t>E</w:t>
          </w:r>
          <w:r w:rsidR="00806D09">
            <w:rPr>
              <w:rFonts w:ascii="Arial" w:hAnsi="Arial" w:cs="Arial"/>
              <w:i/>
              <w:iCs/>
              <w:noProof/>
              <w:sz w:val="22"/>
              <w:szCs w:val="22"/>
            </w:rPr>
            <w:t>V</w:t>
          </w:r>
          <w:r w:rsidRPr="00806D09">
            <w:rPr>
              <w:rFonts w:ascii="Arial" w:hAnsi="Arial" w:cs="Arial"/>
              <w:i/>
              <w:iCs/>
              <w:noProof/>
              <w:sz w:val="22"/>
              <w:szCs w:val="22"/>
            </w:rPr>
            <w:t>s could soon cost same as gas cars thanks to lower battery costs</w:t>
          </w:r>
          <w:r w:rsidRPr="00F4040C">
            <w:rPr>
              <w:rFonts w:ascii="Arial" w:hAnsi="Arial" w:cs="Arial"/>
              <w:noProof/>
              <w:sz w:val="22"/>
              <w:szCs w:val="22"/>
            </w:rPr>
            <w:t xml:space="preserve">. Retrieved March 19, 2021, from </w:t>
          </w:r>
          <w:hyperlink r:id="rId8" w:history="1">
            <w:r w:rsidRPr="00F4040C">
              <w:rPr>
                <w:rStyle w:val="Hyperlink"/>
                <w:rFonts w:ascii="Arial" w:hAnsi="Arial" w:cs="Arial"/>
                <w:noProof/>
                <w:sz w:val="22"/>
                <w:szCs w:val="22"/>
              </w:rPr>
              <w:t>https://www.caranddriver.com/news/a34992832/battery-price-drop-2023/</w:t>
            </w:r>
          </w:hyperlink>
        </w:p>
        <w:p w14:paraId="05790A7E" w14:textId="77777777" w:rsidR="0086234E" w:rsidRPr="00F4040C" w:rsidRDefault="0086234E" w:rsidP="0086234E">
          <w:pPr>
            <w:rPr>
              <w:rFonts w:ascii="Arial" w:hAnsi="Arial" w:cs="Arial"/>
              <w:sz w:val="22"/>
              <w:szCs w:val="22"/>
            </w:rPr>
          </w:pPr>
        </w:p>
        <w:p w14:paraId="0F944005" w14:textId="082804A6"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Chandler, S. (2016). </w:t>
          </w:r>
          <w:r w:rsidRPr="00806D09">
            <w:rPr>
              <w:rFonts w:ascii="Arial" w:hAnsi="Arial" w:cs="Arial"/>
              <w:i/>
              <w:iCs/>
              <w:noProof/>
              <w:sz w:val="22"/>
              <w:szCs w:val="22"/>
            </w:rPr>
            <w:t>Delivering Opportunity: How Electric Buses and Trucks Can Create Jobs and Improve Public Health in California</w:t>
          </w:r>
          <w:r w:rsidR="00F2332D">
            <w:rPr>
              <w:rFonts w:ascii="Arial" w:hAnsi="Arial" w:cs="Arial"/>
              <w:i/>
              <w:iCs/>
              <w:noProof/>
              <w:sz w:val="22"/>
              <w:szCs w:val="22"/>
            </w:rPr>
            <w:t xml:space="preserve">. </w:t>
          </w:r>
          <w:r w:rsidRPr="00F2332D">
            <w:rPr>
              <w:rFonts w:ascii="Arial" w:hAnsi="Arial" w:cs="Arial"/>
              <w:noProof/>
              <w:sz w:val="22"/>
              <w:szCs w:val="22"/>
            </w:rPr>
            <w:t>Union of Concerned Scientists.</w:t>
          </w:r>
        </w:p>
        <w:p w14:paraId="4568B4CA" w14:textId="77777777" w:rsidR="0086234E" w:rsidRPr="00F4040C" w:rsidRDefault="0086234E" w:rsidP="0086234E">
          <w:pPr>
            <w:rPr>
              <w:rFonts w:ascii="Arial" w:hAnsi="Arial" w:cs="Arial"/>
              <w:sz w:val="22"/>
              <w:szCs w:val="22"/>
            </w:rPr>
          </w:pPr>
        </w:p>
        <w:p w14:paraId="5CEC9354" w14:textId="3BF0282D"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Energy Market Authority. (2021). </w:t>
          </w:r>
          <w:r w:rsidRPr="00806D09">
            <w:rPr>
              <w:rFonts w:ascii="Arial" w:hAnsi="Arial" w:cs="Arial"/>
              <w:i/>
              <w:iCs/>
              <w:noProof/>
              <w:sz w:val="22"/>
              <w:szCs w:val="22"/>
            </w:rPr>
            <w:t>Electric Vehicle Charging Systems For Singapore.</w:t>
          </w:r>
          <w:r w:rsidRPr="00F4040C">
            <w:rPr>
              <w:rFonts w:ascii="Arial" w:hAnsi="Arial" w:cs="Arial"/>
              <w:noProof/>
              <w:sz w:val="22"/>
              <w:szCs w:val="22"/>
            </w:rPr>
            <w:t xml:space="preserve"> Retrieved March 22, 2021, from </w:t>
          </w:r>
          <w:hyperlink r:id="rId9" w:history="1">
            <w:r w:rsidRPr="00F4040C">
              <w:rPr>
                <w:rStyle w:val="Hyperlink"/>
                <w:rFonts w:ascii="Arial" w:hAnsi="Arial" w:cs="Arial"/>
                <w:noProof/>
                <w:sz w:val="22"/>
                <w:szCs w:val="22"/>
              </w:rPr>
              <w:t>https://www.ema.gov.sg/Electric_Vehicle_Charging_Systems.aspx</w:t>
            </w:r>
          </w:hyperlink>
        </w:p>
        <w:p w14:paraId="7ADCF792" w14:textId="77777777" w:rsidR="0086234E" w:rsidRPr="00F4040C" w:rsidRDefault="0086234E" w:rsidP="0086234E">
          <w:pPr>
            <w:rPr>
              <w:rFonts w:ascii="Arial" w:hAnsi="Arial" w:cs="Arial"/>
              <w:sz w:val="22"/>
              <w:szCs w:val="22"/>
            </w:rPr>
          </w:pPr>
        </w:p>
        <w:p w14:paraId="0A129820"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Ha, T. (2020, June 24). </w:t>
          </w:r>
          <w:r w:rsidRPr="00806D09">
            <w:rPr>
              <w:rFonts w:ascii="Arial" w:hAnsi="Arial" w:cs="Arial"/>
              <w:i/>
              <w:iCs/>
              <w:noProof/>
              <w:sz w:val="22"/>
              <w:szCs w:val="22"/>
            </w:rPr>
            <w:t>5 trends this decade that will shape Singapore’s switch to electric mobility.</w:t>
          </w:r>
          <w:r w:rsidRPr="00F4040C">
            <w:rPr>
              <w:rFonts w:ascii="Arial" w:hAnsi="Arial" w:cs="Arial"/>
              <w:noProof/>
              <w:sz w:val="22"/>
              <w:szCs w:val="22"/>
            </w:rPr>
            <w:t xml:space="preserve"> Retrieved March 23, 2021, from </w:t>
          </w:r>
          <w:hyperlink r:id="rId10" w:history="1">
            <w:r w:rsidRPr="00F4040C">
              <w:rPr>
                <w:rStyle w:val="Hyperlink"/>
                <w:rFonts w:ascii="Arial" w:hAnsi="Arial" w:cs="Arial"/>
                <w:noProof/>
                <w:sz w:val="22"/>
                <w:szCs w:val="22"/>
              </w:rPr>
              <w:t>https://www.eco-business.com/news/5-trends-this-decade-that-will-shape-singapores-switch-to-electric-mobility/</w:t>
            </w:r>
          </w:hyperlink>
        </w:p>
        <w:p w14:paraId="0662AF50" w14:textId="77777777" w:rsidR="0086234E" w:rsidRPr="00F4040C" w:rsidRDefault="0086234E" w:rsidP="0086234E">
          <w:pPr>
            <w:rPr>
              <w:rFonts w:ascii="Arial" w:hAnsi="Arial" w:cs="Arial"/>
              <w:sz w:val="22"/>
              <w:szCs w:val="22"/>
            </w:rPr>
          </w:pPr>
        </w:p>
        <w:p w14:paraId="12EC3F92"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Heng, C. (2021, February 17). </w:t>
          </w:r>
          <w:r w:rsidRPr="00806D09">
            <w:rPr>
              <w:rFonts w:ascii="Arial" w:hAnsi="Arial" w:cs="Arial"/>
              <w:i/>
              <w:iCs/>
              <w:noProof/>
              <w:sz w:val="22"/>
              <w:szCs w:val="22"/>
            </w:rPr>
            <w:t>Singapore's electric car charging providers put expansion plans in place.</w:t>
          </w:r>
          <w:r w:rsidRPr="00F4040C">
            <w:rPr>
              <w:rFonts w:ascii="Arial" w:hAnsi="Arial" w:cs="Arial"/>
              <w:noProof/>
              <w:sz w:val="22"/>
              <w:szCs w:val="22"/>
            </w:rPr>
            <w:t xml:space="preserve"> Retrieved March 19, 2021, from </w:t>
          </w:r>
          <w:hyperlink r:id="rId11" w:history="1">
            <w:r w:rsidRPr="00F4040C">
              <w:rPr>
                <w:rStyle w:val="Hyperlink"/>
                <w:rFonts w:ascii="Arial" w:hAnsi="Arial" w:cs="Arial"/>
                <w:noProof/>
                <w:sz w:val="22"/>
                <w:szCs w:val="22"/>
              </w:rPr>
              <w:t>https://www.scmp.com/business/companies/article/3122026/singapores-electric-car-charging-providers-put-expansion-plans</w:t>
            </w:r>
          </w:hyperlink>
        </w:p>
        <w:p w14:paraId="0C4F7DAA" w14:textId="77777777" w:rsidR="0086234E" w:rsidRPr="00F4040C" w:rsidRDefault="0086234E" w:rsidP="0086234E">
          <w:pPr>
            <w:rPr>
              <w:rFonts w:ascii="Arial" w:hAnsi="Arial" w:cs="Arial"/>
              <w:sz w:val="22"/>
              <w:szCs w:val="22"/>
            </w:rPr>
          </w:pPr>
        </w:p>
        <w:p w14:paraId="26415AD5" w14:textId="36FADDA7" w:rsidR="00CC77AB" w:rsidRPr="00CC77AB" w:rsidRDefault="0086234E" w:rsidP="00CC77AB">
          <w:pPr>
            <w:pStyle w:val="Bibliography"/>
            <w:ind w:left="720" w:hanging="720"/>
            <w:rPr>
              <w:rFonts w:ascii="Arial" w:hAnsi="Arial" w:cs="Arial"/>
              <w:noProof/>
              <w:sz w:val="22"/>
              <w:szCs w:val="22"/>
            </w:rPr>
          </w:pPr>
          <w:r w:rsidRPr="00806D09">
            <w:rPr>
              <w:rFonts w:ascii="Arial" w:hAnsi="Arial" w:cs="Arial"/>
              <w:i/>
              <w:iCs/>
              <w:noProof/>
              <w:sz w:val="22"/>
              <w:szCs w:val="22"/>
            </w:rPr>
            <w:t xml:space="preserve">History of Singapore </w:t>
          </w:r>
          <w:r w:rsidR="00806D09">
            <w:rPr>
              <w:rFonts w:ascii="Arial" w:hAnsi="Arial" w:cs="Arial"/>
              <w:i/>
              <w:iCs/>
              <w:noProof/>
              <w:sz w:val="22"/>
              <w:szCs w:val="22"/>
            </w:rPr>
            <w:t>MRT</w:t>
          </w:r>
          <w:r w:rsidRPr="00806D09">
            <w:rPr>
              <w:rFonts w:ascii="Arial" w:hAnsi="Arial" w:cs="Arial"/>
              <w:i/>
              <w:iCs/>
              <w:noProof/>
              <w:sz w:val="22"/>
              <w:szCs w:val="22"/>
            </w:rPr>
            <w:t>.</w:t>
          </w:r>
          <w:r w:rsidRPr="00F4040C">
            <w:rPr>
              <w:rFonts w:ascii="Arial" w:hAnsi="Arial" w:cs="Arial"/>
              <w:noProof/>
              <w:sz w:val="22"/>
              <w:szCs w:val="22"/>
            </w:rPr>
            <w:t xml:space="preserve"> (2018, June 29). Retrieved March 21, 2021, from </w:t>
          </w:r>
          <w:hyperlink r:id="rId12" w:history="1">
            <w:r w:rsidRPr="00F4040C">
              <w:rPr>
                <w:rStyle w:val="Hyperlink"/>
                <w:rFonts w:ascii="Arial" w:hAnsi="Arial" w:cs="Arial"/>
                <w:noProof/>
                <w:sz w:val="22"/>
                <w:szCs w:val="22"/>
              </w:rPr>
              <w:t>https://landtransportguru.net/history-of-the-singapore-mrt/</w:t>
            </w:r>
          </w:hyperlink>
          <w:r w:rsidRPr="00F4040C">
            <w:rPr>
              <w:rFonts w:ascii="Arial" w:hAnsi="Arial" w:cs="Arial"/>
              <w:noProof/>
              <w:sz w:val="22"/>
              <w:szCs w:val="22"/>
            </w:rPr>
            <w:t> </w:t>
          </w:r>
        </w:p>
        <w:p w14:paraId="3D7FC28D" w14:textId="33DDE135" w:rsidR="0086234E" w:rsidRDefault="0086234E" w:rsidP="0086234E">
          <w:pPr>
            <w:rPr>
              <w:rFonts w:ascii="Arial" w:hAnsi="Arial" w:cs="Arial"/>
              <w:sz w:val="22"/>
              <w:szCs w:val="22"/>
            </w:rPr>
          </w:pPr>
        </w:p>
        <w:p w14:paraId="62158BFD" w14:textId="648A4E3D" w:rsidR="00CC77AB" w:rsidRDefault="00CC77AB" w:rsidP="00CC77AB">
          <w:pPr>
            <w:pStyle w:val="Bibliography"/>
            <w:ind w:left="720" w:hanging="720"/>
            <w:rPr>
              <w:rFonts w:ascii="Arial" w:hAnsi="Arial" w:cs="Arial"/>
              <w:noProof/>
              <w:sz w:val="22"/>
              <w:szCs w:val="22"/>
            </w:rPr>
          </w:pPr>
          <w:r>
            <w:rPr>
              <w:rFonts w:ascii="Arial" w:hAnsi="Arial" w:cs="Arial"/>
              <w:noProof/>
              <w:sz w:val="22"/>
              <w:szCs w:val="22"/>
            </w:rPr>
            <w:t>Smart</w:t>
          </w:r>
          <w:r w:rsidRPr="00F4040C">
            <w:rPr>
              <w:rFonts w:ascii="Arial" w:hAnsi="Arial" w:cs="Arial"/>
              <w:noProof/>
              <w:sz w:val="22"/>
              <w:szCs w:val="22"/>
            </w:rPr>
            <w:t xml:space="preserve">, </w:t>
          </w:r>
          <w:r>
            <w:rPr>
              <w:rFonts w:ascii="Arial" w:hAnsi="Arial" w:cs="Arial"/>
              <w:noProof/>
              <w:sz w:val="22"/>
              <w:szCs w:val="22"/>
            </w:rPr>
            <w:t>J. G</w:t>
          </w:r>
          <w:r w:rsidRPr="00F4040C">
            <w:rPr>
              <w:rFonts w:ascii="Arial" w:hAnsi="Arial" w:cs="Arial"/>
              <w:noProof/>
              <w:sz w:val="22"/>
              <w:szCs w:val="22"/>
            </w:rPr>
            <w:t>., &amp; S</w:t>
          </w:r>
          <w:r>
            <w:rPr>
              <w:rFonts w:ascii="Arial" w:hAnsi="Arial" w:cs="Arial"/>
              <w:noProof/>
              <w:sz w:val="22"/>
              <w:szCs w:val="22"/>
            </w:rPr>
            <w:t>alisbury</w:t>
          </w:r>
          <w:r w:rsidRPr="00F4040C">
            <w:rPr>
              <w:rFonts w:ascii="Arial" w:hAnsi="Arial" w:cs="Arial"/>
              <w:noProof/>
              <w:sz w:val="22"/>
              <w:szCs w:val="22"/>
            </w:rPr>
            <w:t>, S.</w:t>
          </w:r>
          <w:r>
            <w:rPr>
              <w:rFonts w:ascii="Arial" w:hAnsi="Arial" w:cs="Arial"/>
              <w:noProof/>
              <w:sz w:val="22"/>
              <w:szCs w:val="22"/>
            </w:rPr>
            <w:t xml:space="preserve"> D.</w:t>
          </w:r>
          <w:r w:rsidRPr="00F4040C">
            <w:rPr>
              <w:rFonts w:ascii="Arial" w:hAnsi="Arial" w:cs="Arial"/>
              <w:noProof/>
              <w:sz w:val="22"/>
              <w:szCs w:val="22"/>
            </w:rPr>
            <w:t xml:space="preserve"> (20</w:t>
          </w:r>
          <w:r>
            <w:rPr>
              <w:rFonts w:ascii="Arial" w:hAnsi="Arial" w:cs="Arial"/>
              <w:noProof/>
              <w:sz w:val="22"/>
              <w:szCs w:val="22"/>
            </w:rPr>
            <w:t>15</w:t>
          </w:r>
          <w:r w:rsidRPr="00F4040C">
            <w:rPr>
              <w:rFonts w:ascii="Arial" w:hAnsi="Arial" w:cs="Arial"/>
              <w:noProof/>
              <w:sz w:val="22"/>
              <w:szCs w:val="22"/>
            </w:rPr>
            <w:t xml:space="preserve">). </w:t>
          </w:r>
          <w:r w:rsidRPr="00CC77AB">
            <w:rPr>
              <w:rFonts w:ascii="Arial" w:hAnsi="Arial" w:cs="Arial"/>
              <w:i/>
              <w:iCs/>
              <w:noProof/>
              <w:sz w:val="22"/>
              <w:szCs w:val="22"/>
            </w:rPr>
            <w:t xml:space="preserve">Plugged in: How Americans charge their electric vehicles </w:t>
          </w:r>
          <w:r w:rsidRPr="00CC77AB">
            <w:rPr>
              <w:rFonts w:ascii="Arial" w:hAnsi="Arial" w:cs="Arial"/>
              <w:noProof/>
              <w:sz w:val="22"/>
              <w:szCs w:val="22"/>
            </w:rPr>
            <w:t>(No. INL/EXT-15-35584). Idaho National Lab.(INL), Idaho Falls, ID (United States).</w:t>
          </w:r>
        </w:p>
        <w:p w14:paraId="0558B15B" w14:textId="77777777" w:rsidR="00CC77AB" w:rsidRPr="00F4040C" w:rsidRDefault="00CC77AB" w:rsidP="0086234E">
          <w:pPr>
            <w:rPr>
              <w:rFonts w:ascii="Arial" w:hAnsi="Arial" w:cs="Arial"/>
              <w:sz w:val="22"/>
              <w:szCs w:val="22"/>
            </w:rPr>
          </w:pPr>
        </w:p>
        <w:p w14:paraId="695761CE"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Hoover, Z., Nägele, F., Polymeneas, E., &amp; Sahdev, S. (2021, January 08). </w:t>
          </w:r>
          <w:r w:rsidRPr="00806D09">
            <w:rPr>
              <w:rFonts w:ascii="Arial" w:hAnsi="Arial" w:cs="Arial"/>
              <w:i/>
              <w:iCs/>
              <w:noProof/>
              <w:sz w:val="22"/>
              <w:szCs w:val="22"/>
            </w:rPr>
            <w:t>How charging in buildings can power up the electric-vehicle industry</w:t>
          </w:r>
          <w:r w:rsidRPr="00F4040C">
            <w:rPr>
              <w:rFonts w:ascii="Arial" w:hAnsi="Arial" w:cs="Arial"/>
              <w:noProof/>
              <w:sz w:val="22"/>
              <w:szCs w:val="22"/>
            </w:rPr>
            <w:t xml:space="preserve">. Retrieved March 20, 2021, from </w:t>
          </w:r>
          <w:hyperlink r:id="rId13" w:history="1">
            <w:r w:rsidRPr="00F4040C">
              <w:rPr>
                <w:rStyle w:val="Hyperlink"/>
                <w:rFonts w:ascii="Arial" w:hAnsi="Arial" w:cs="Arial"/>
                <w:noProof/>
                <w:sz w:val="22"/>
                <w:szCs w:val="22"/>
              </w:rPr>
              <w:t>https://www.mckinsey.com/industries/electric-power-and-natural-gas/our-insights/how-charging-in-buildings-can-power-up-the-electric-vehicle-industry#</w:t>
            </w:r>
          </w:hyperlink>
        </w:p>
        <w:p w14:paraId="584FF9B8" w14:textId="77777777" w:rsidR="0086234E" w:rsidRPr="00F4040C" w:rsidRDefault="0086234E" w:rsidP="0086234E">
          <w:pPr>
            <w:rPr>
              <w:rFonts w:ascii="Arial" w:hAnsi="Arial" w:cs="Arial"/>
              <w:sz w:val="22"/>
              <w:szCs w:val="22"/>
            </w:rPr>
          </w:pPr>
        </w:p>
        <w:p w14:paraId="0F2BF88A"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Kane, M. (2020, October 9). </w:t>
          </w:r>
          <w:r w:rsidRPr="00806D09">
            <w:rPr>
              <w:rFonts w:ascii="Arial" w:hAnsi="Arial" w:cs="Arial"/>
              <w:i/>
              <w:iCs/>
              <w:noProof/>
              <w:sz w:val="22"/>
              <w:szCs w:val="22"/>
            </w:rPr>
            <w:t>Nio Completes 1 Millionth Battery Swap.</w:t>
          </w:r>
          <w:r w:rsidRPr="00F4040C">
            <w:rPr>
              <w:rFonts w:ascii="Arial" w:hAnsi="Arial" w:cs="Arial"/>
              <w:noProof/>
              <w:sz w:val="22"/>
              <w:szCs w:val="22"/>
            </w:rPr>
            <w:t xml:space="preserve"> Retrieved March 23, 2021, from </w:t>
          </w:r>
          <w:hyperlink r:id="rId14" w:history="1">
            <w:r w:rsidRPr="00F4040C">
              <w:rPr>
                <w:rStyle w:val="Hyperlink"/>
                <w:rFonts w:ascii="Arial" w:hAnsi="Arial" w:cs="Arial"/>
                <w:noProof/>
                <w:sz w:val="22"/>
                <w:szCs w:val="22"/>
              </w:rPr>
              <w:t>https://insideevs.com/news/448165/nio-completed-1-millionth-battery-swap/</w:t>
            </w:r>
          </w:hyperlink>
        </w:p>
        <w:p w14:paraId="24EA80CE" w14:textId="77777777" w:rsidR="0086234E" w:rsidRPr="00F4040C" w:rsidRDefault="0086234E" w:rsidP="0086234E">
          <w:pPr>
            <w:rPr>
              <w:rFonts w:ascii="Arial" w:hAnsi="Arial" w:cs="Arial"/>
              <w:sz w:val="22"/>
              <w:szCs w:val="22"/>
            </w:rPr>
          </w:pPr>
        </w:p>
        <w:p w14:paraId="535C1AED"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Lambert, F. (2019, May 20). </w:t>
          </w:r>
          <w:r w:rsidRPr="00806D09">
            <w:rPr>
              <w:rFonts w:ascii="Arial" w:hAnsi="Arial" w:cs="Arial"/>
              <w:i/>
              <w:iCs/>
              <w:noProof/>
              <w:sz w:val="22"/>
              <w:szCs w:val="22"/>
            </w:rPr>
            <w:t xml:space="preserve">Chevron starts deploying EV charging stations at its gas stations. </w:t>
          </w:r>
          <w:r w:rsidRPr="00F4040C">
            <w:rPr>
              <w:rFonts w:ascii="Arial" w:hAnsi="Arial" w:cs="Arial"/>
              <w:noProof/>
              <w:sz w:val="22"/>
              <w:szCs w:val="22"/>
            </w:rPr>
            <w:t xml:space="preserve">Retrieved March 20, 2021, from </w:t>
          </w:r>
          <w:hyperlink r:id="rId15" w:history="1">
            <w:r w:rsidRPr="00F4040C">
              <w:rPr>
                <w:rStyle w:val="Hyperlink"/>
                <w:rFonts w:ascii="Arial" w:hAnsi="Arial" w:cs="Arial"/>
                <w:noProof/>
                <w:sz w:val="22"/>
                <w:szCs w:val="22"/>
              </w:rPr>
              <w:t>https://electrek.co/2019/05/20/chevron-ev-charging-gas-stations/</w:t>
            </w:r>
          </w:hyperlink>
          <w:r w:rsidRPr="00F4040C">
            <w:rPr>
              <w:rFonts w:ascii="Arial" w:hAnsi="Arial" w:cs="Arial"/>
              <w:noProof/>
              <w:sz w:val="22"/>
              <w:szCs w:val="22"/>
            </w:rPr>
            <w:t> </w:t>
          </w:r>
        </w:p>
        <w:p w14:paraId="0F81E9DD" w14:textId="77777777" w:rsidR="0086234E" w:rsidRPr="00F4040C" w:rsidRDefault="0086234E" w:rsidP="0086234E">
          <w:pPr>
            <w:rPr>
              <w:rFonts w:ascii="Arial" w:hAnsi="Arial" w:cs="Arial"/>
              <w:sz w:val="22"/>
              <w:szCs w:val="22"/>
            </w:rPr>
          </w:pPr>
        </w:p>
        <w:p w14:paraId="05F58F1E"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Land Transport Authority. (2021). </w:t>
          </w:r>
          <w:r w:rsidRPr="00806D09">
            <w:rPr>
              <w:rFonts w:ascii="Arial" w:hAnsi="Arial" w:cs="Arial"/>
              <w:i/>
              <w:iCs/>
              <w:noProof/>
              <w:sz w:val="22"/>
              <w:szCs w:val="22"/>
            </w:rPr>
            <w:t>Vehicle Emission Schemes | Upfront Vehicle Costs | Buying | OneMotoring.</w:t>
          </w:r>
          <w:r w:rsidRPr="00F4040C">
            <w:rPr>
              <w:rFonts w:ascii="Arial" w:hAnsi="Arial" w:cs="Arial"/>
              <w:noProof/>
              <w:sz w:val="22"/>
              <w:szCs w:val="22"/>
            </w:rPr>
            <w:t xml:space="preserve"> Retrieved March 22, 2021, from </w:t>
          </w:r>
          <w:hyperlink r:id="rId16" w:anchor=":%7E:text=%2430%2C000-,Revised%20Carbon%20Emission%2DBased%20Vehicle%20Scheme%20(CEVS),2015%20to%2031%20December%202017.&amp;text=The%20emission%20factor%20of%200.4,2017%20to%2031%20December%202020" w:history="1">
            <w:r w:rsidRPr="00F4040C">
              <w:rPr>
                <w:rStyle w:val="Hyperlink"/>
                <w:rFonts w:ascii="Arial" w:hAnsi="Arial" w:cs="Arial"/>
                <w:noProof/>
                <w:sz w:val="22"/>
                <w:szCs w:val="22"/>
              </w:rPr>
              <w:t>https://onemotoring.lta.gov.sg/content/onemotoring/home/buying/upfront-vehicle-costs/emissions-charges.html#:%7E:text=%2430%2C000-,Revised%20Carbon%20Emission%2DBased%20Vehicle%20Scheme%20(CEVS),2015%20to%2031%20December%202017.&amp;text=The%20emission%20factor%20of%200.4,2017%20to%2031%20December%202020</w:t>
            </w:r>
          </w:hyperlink>
          <w:r w:rsidRPr="00F4040C">
            <w:rPr>
              <w:rFonts w:ascii="Arial" w:hAnsi="Arial" w:cs="Arial"/>
              <w:noProof/>
              <w:sz w:val="22"/>
              <w:szCs w:val="22"/>
            </w:rPr>
            <w:t>.</w:t>
          </w:r>
        </w:p>
        <w:p w14:paraId="38801E7B" w14:textId="77777777" w:rsidR="0086234E" w:rsidRPr="00F4040C" w:rsidRDefault="0086234E" w:rsidP="0086234E">
          <w:pPr>
            <w:rPr>
              <w:rFonts w:ascii="Arial" w:hAnsi="Arial" w:cs="Arial"/>
              <w:sz w:val="22"/>
              <w:szCs w:val="22"/>
            </w:rPr>
          </w:pPr>
        </w:p>
        <w:p w14:paraId="261E3172" w14:textId="5E6E659E"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lastRenderedPageBreak/>
            <w:t>L</w:t>
          </w:r>
          <w:r w:rsidR="00F2332D">
            <w:rPr>
              <w:rFonts w:ascii="Arial" w:hAnsi="Arial" w:cs="Arial"/>
              <w:noProof/>
              <w:sz w:val="22"/>
              <w:szCs w:val="22"/>
            </w:rPr>
            <w:t>and Transport Authority</w:t>
          </w:r>
          <w:r w:rsidRPr="00F4040C">
            <w:rPr>
              <w:rFonts w:ascii="Arial" w:hAnsi="Arial" w:cs="Arial"/>
              <w:noProof/>
              <w:sz w:val="22"/>
              <w:szCs w:val="22"/>
            </w:rPr>
            <w:t xml:space="preserve">. (2018, March 15). </w:t>
          </w:r>
          <w:r w:rsidRPr="00806D09">
            <w:rPr>
              <w:rFonts w:ascii="Arial" w:hAnsi="Arial" w:cs="Arial"/>
              <w:i/>
              <w:iCs/>
              <w:noProof/>
              <w:sz w:val="22"/>
              <w:szCs w:val="22"/>
            </w:rPr>
            <w:t>Public transport utilisation - average daily public transport ridership</w:t>
          </w:r>
          <w:r w:rsidRPr="00F4040C">
            <w:rPr>
              <w:rFonts w:ascii="Arial" w:hAnsi="Arial" w:cs="Arial"/>
              <w:noProof/>
              <w:sz w:val="22"/>
              <w:szCs w:val="22"/>
            </w:rPr>
            <w:t xml:space="preserve">. Retrieved March 19, 2021, from </w:t>
          </w:r>
          <w:hyperlink r:id="rId17" w:history="1">
            <w:r w:rsidRPr="00F4040C">
              <w:rPr>
                <w:rStyle w:val="Hyperlink"/>
                <w:rFonts w:ascii="Arial" w:hAnsi="Arial" w:cs="Arial"/>
                <w:noProof/>
                <w:sz w:val="22"/>
                <w:szCs w:val="22"/>
              </w:rPr>
              <w:t>https://data.gov.sg/dataset/public-transport-utilisation-average-public-transport-ridership</w:t>
            </w:r>
          </w:hyperlink>
        </w:p>
        <w:p w14:paraId="6F5BB74E" w14:textId="77777777" w:rsidR="0086234E" w:rsidRPr="00F4040C" w:rsidRDefault="0086234E" w:rsidP="0086234E">
          <w:pPr>
            <w:rPr>
              <w:rFonts w:ascii="Arial" w:hAnsi="Arial" w:cs="Arial"/>
              <w:sz w:val="22"/>
              <w:szCs w:val="22"/>
            </w:rPr>
          </w:pPr>
        </w:p>
        <w:p w14:paraId="2C9423D2"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Ruffo, G.H. (2020, November 26). </w:t>
          </w:r>
          <w:r w:rsidRPr="00806D09">
            <w:rPr>
              <w:rFonts w:ascii="Arial" w:hAnsi="Arial" w:cs="Arial"/>
              <w:i/>
              <w:iCs/>
              <w:noProof/>
              <w:sz w:val="22"/>
              <w:szCs w:val="22"/>
            </w:rPr>
            <w:t>Nio Tells Us About Battery Pack Standards And Its Swapping Strategy.</w:t>
          </w:r>
          <w:r w:rsidRPr="00F4040C">
            <w:rPr>
              <w:rFonts w:ascii="Arial" w:hAnsi="Arial" w:cs="Arial"/>
              <w:noProof/>
              <w:sz w:val="22"/>
              <w:szCs w:val="22"/>
            </w:rPr>
            <w:t xml:space="preserve"> Retrieved March 23, 2021, from </w:t>
          </w:r>
          <w:hyperlink r:id="rId18" w:history="1">
            <w:r w:rsidRPr="00F4040C">
              <w:rPr>
                <w:rStyle w:val="Hyperlink"/>
                <w:rFonts w:ascii="Arial" w:hAnsi="Arial" w:cs="Arial"/>
                <w:noProof/>
                <w:sz w:val="22"/>
                <w:szCs w:val="22"/>
              </w:rPr>
              <w:t>https://insideevs.com/news/456776/nio-swappable-battery-pack-standards/</w:t>
            </w:r>
          </w:hyperlink>
        </w:p>
        <w:p w14:paraId="4A2F0C20" w14:textId="77777777" w:rsidR="0086234E" w:rsidRPr="00F4040C" w:rsidRDefault="0086234E" w:rsidP="0086234E">
          <w:pPr>
            <w:rPr>
              <w:rFonts w:ascii="Arial" w:hAnsi="Arial" w:cs="Arial"/>
              <w:sz w:val="22"/>
              <w:szCs w:val="22"/>
            </w:rPr>
          </w:pPr>
        </w:p>
        <w:p w14:paraId="09F1037E" w14:textId="4DA8E066" w:rsidR="0086234E" w:rsidRPr="00F4040C" w:rsidRDefault="0086234E" w:rsidP="0086234E">
          <w:pPr>
            <w:pStyle w:val="Bibliography"/>
            <w:ind w:left="720" w:hanging="720"/>
            <w:rPr>
              <w:rFonts w:ascii="Arial" w:hAnsi="Arial" w:cs="Arial"/>
              <w:noProof/>
              <w:sz w:val="22"/>
              <w:szCs w:val="22"/>
            </w:rPr>
          </w:pPr>
          <w:r w:rsidRPr="00806D09">
            <w:rPr>
              <w:rFonts w:ascii="Arial" w:hAnsi="Arial" w:cs="Arial"/>
              <w:i/>
              <w:iCs/>
              <w:noProof/>
              <w:sz w:val="22"/>
              <w:szCs w:val="22"/>
            </w:rPr>
            <w:t>Shell acquisition shows EV charging market consolidation</w:t>
          </w:r>
          <w:r w:rsidRPr="00F4040C">
            <w:rPr>
              <w:rFonts w:ascii="Arial" w:hAnsi="Arial" w:cs="Arial"/>
              <w:noProof/>
              <w:sz w:val="22"/>
              <w:szCs w:val="22"/>
            </w:rPr>
            <w:t xml:space="preserve">. (2017, November 07). </w:t>
          </w:r>
          <w:r w:rsidR="00806D09">
            <w:rPr>
              <w:rFonts w:ascii="Arial" w:hAnsi="Arial" w:cs="Arial"/>
              <w:noProof/>
              <w:sz w:val="22"/>
              <w:szCs w:val="22"/>
            </w:rPr>
            <w:t xml:space="preserve">BloombergNEF. </w:t>
          </w:r>
          <w:r w:rsidRPr="00F4040C">
            <w:rPr>
              <w:rFonts w:ascii="Arial" w:hAnsi="Arial" w:cs="Arial"/>
              <w:noProof/>
              <w:sz w:val="22"/>
              <w:szCs w:val="22"/>
            </w:rPr>
            <w:t xml:space="preserve">Retrieved March 24, 2021, from </w:t>
          </w:r>
          <w:hyperlink r:id="rId19" w:history="1">
            <w:r w:rsidRPr="00F4040C">
              <w:rPr>
                <w:rStyle w:val="Hyperlink"/>
                <w:rFonts w:ascii="Arial" w:hAnsi="Arial" w:cs="Arial"/>
                <w:noProof/>
                <w:sz w:val="22"/>
                <w:szCs w:val="22"/>
              </w:rPr>
              <w:t>https://about.bnef.com/blog/shell-acquisition-shows-ev-charging-market-consolidation/</w:t>
            </w:r>
          </w:hyperlink>
          <w:r w:rsidRPr="00F4040C">
            <w:rPr>
              <w:rFonts w:ascii="Arial" w:hAnsi="Arial" w:cs="Arial"/>
              <w:noProof/>
              <w:sz w:val="22"/>
              <w:szCs w:val="22"/>
            </w:rPr>
            <w:t> </w:t>
          </w:r>
        </w:p>
        <w:p w14:paraId="7E1FA068" w14:textId="77777777" w:rsidR="0086234E" w:rsidRPr="00F4040C" w:rsidRDefault="0086234E" w:rsidP="0086234E">
          <w:pPr>
            <w:rPr>
              <w:rFonts w:ascii="Arial" w:hAnsi="Arial" w:cs="Arial"/>
              <w:sz w:val="22"/>
              <w:szCs w:val="22"/>
            </w:rPr>
          </w:pPr>
        </w:p>
        <w:p w14:paraId="1E59B95C"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Shieber, J. (2021, February 11). </w:t>
          </w:r>
          <w:r w:rsidRPr="00806D09">
            <w:rPr>
              <w:rFonts w:ascii="Arial" w:hAnsi="Arial" w:cs="Arial"/>
              <w:i/>
              <w:iCs/>
              <w:noProof/>
              <w:sz w:val="22"/>
              <w:szCs w:val="22"/>
            </w:rPr>
            <w:t>Planning 500,000 charging points for EVs by 2025, Shell becomes the latest company swept up in EV charging boom</w:t>
          </w:r>
          <w:r w:rsidRPr="00F4040C">
            <w:rPr>
              <w:rFonts w:ascii="Arial" w:hAnsi="Arial" w:cs="Arial"/>
              <w:noProof/>
              <w:sz w:val="22"/>
              <w:szCs w:val="22"/>
            </w:rPr>
            <w:t xml:space="preserve">. Retrieved March 20, 2021, from </w:t>
          </w:r>
          <w:hyperlink r:id="rId20" w:history="1">
            <w:r w:rsidRPr="00F4040C">
              <w:rPr>
                <w:rStyle w:val="Hyperlink"/>
                <w:rFonts w:ascii="Arial" w:hAnsi="Arial" w:cs="Arial"/>
                <w:noProof/>
                <w:sz w:val="22"/>
                <w:szCs w:val="22"/>
              </w:rPr>
              <w:t>https://techcrunch.com/2021/02/11/planning-500000-charging-points-for-evs-by-2025-shell-becomes-the-latest-company-swept-up-in-ev-charging-boom/?guccounter=1&amp;guce_referrer=aHR0cHM6Ly93d3cuZ29vZ2xlLmNvbS8&amp;guce_referrer_sig=AQAAABXf9EcgjGa8FjxRYTSF_zV8XpHvbanq7PmmMxTj7GiQFVWoMrtgz97r0IZn3GIXFJ3O0YVd7DR57tzhwyCNnakfdfuz9uRk_1jfy_Pl5p3hy4_u5pRGXGb720KFiBEWDa7_vJis5_YgVxPpXyRKpWuTNqlMZO02HPQepHMVCAQ9</w:t>
            </w:r>
          </w:hyperlink>
          <w:r w:rsidRPr="00F4040C">
            <w:rPr>
              <w:rFonts w:ascii="Arial" w:hAnsi="Arial" w:cs="Arial"/>
              <w:noProof/>
              <w:sz w:val="22"/>
              <w:szCs w:val="22"/>
            </w:rPr>
            <w:t> </w:t>
          </w:r>
        </w:p>
        <w:p w14:paraId="7328B065" w14:textId="77777777" w:rsidR="0086234E" w:rsidRPr="00F4040C" w:rsidRDefault="0086234E" w:rsidP="0086234E">
          <w:pPr>
            <w:rPr>
              <w:rFonts w:ascii="Arial" w:hAnsi="Arial" w:cs="Arial"/>
              <w:sz w:val="22"/>
              <w:szCs w:val="22"/>
            </w:rPr>
          </w:pPr>
        </w:p>
        <w:p w14:paraId="7B0418CF" w14:textId="44670F93"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Thananusak, T., Punnakitikashem, P., Tanthasith, S., &amp; Kongarchapatara, B. (</w:t>
          </w:r>
          <w:r w:rsidR="00806D09">
            <w:rPr>
              <w:rFonts w:ascii="Arial" w:hAnsi="Arial" w:cs="Arial"/>
              <w:noProof/>
              <w:sz w:val="22"/>
              <w:szCs w:val="22"/>
            </w:rPr>
            <w:t>2021</w:t>
          </w:r>
          <w:r w:rsidRPr="00F4040C">
            <w:rPr>
              <w:rFonts w:ascii="Arial" w:hAnsi="Arial" w:cs="Arial"/>
              <w:noProof/>
              <w:sz w:val="22"/>
              <w:szCs w:val="22"/>
            </w:rPr>
            <w:t xml:space="preserve">). </w:t>
          </w:r>
          <w:r w:rsidR="00806D09" w:rsidRPr="00806D09">
            <w:rPr>
              <w:rFonts w:ascii="Arial" w:hAnsi="Arial" w:cs="Arial"/>
              <w:noProof/>
              <w:sz w:val="22"/>
              <w:szCs w:val="22"/>
            </w:rPr>
            <w:t xml:space="preserve">The Development of Electric Vehicle Charging Stations in Thailand: Policies, Players, and Key Issues (2015–2020). </w:t>
          </w:r>
          <w:r w:rsidR="00806D09" w:rsidRPr="00806D09">
            <w:rPr>
              <w:rFonts w:ascii="Arial" w:hAnsi="Arial" w:cs="Arial"/>
              <w:i/>
              <w:iCs/>
              <w:noProof/>
              <w:sz w:val="22"/>
              <w:szCs w:val="22"/>
            </w:rPr>
            <w:t>World Electric Vehicle Journal, 12</w:t>
          </w:r>
          <w:r w:rsidR="00806D09" w:rsidRPr="00806D09">
            <w:rPr>
              <w:rFonts w:ascii="Arial" w:hAnsi="Arial" w:cs="Arial"/>
              <w:noProof/>
              <w:sz w:val="22"/>
              <w:szCs w:val="22"/>
            </w:rPr>
            <w:t>(1), 2.</w:t>
          </w:r>
          <w:r w:rsidR="00806D09" w:rsidRPr="00F4040C">
            <w:rPr>
              <w:rFonts w:ascii="Arial" w:hAnsi="Arial" w:cs="Arial"/>
              <w:noProof/>
              <w:sz w:val="22"/>
              <w:szCs w:val="22"/>
            </w:rPr>
            <w:t xml:space="preserve"> </w:t>
          </w:r>
        </w:p>
        <w:p w14:paraId="6738C2CB" w14:textId="77777777" w:rsidR="0086234E" w:rsidRPr="00F4040C" w:rsidRDefault="0086234E" w:rsidP="0086234E">
          <w:pPr>
            <w:rPr>
              <w:rFonts w:ascii="Arial" w:hAnsi="Arial" w:cs="Arial"/>
              <w:sz w:val="22"/>
              <w:szCs w:val="22"/>
            </w:rPr>
          </w:pPr>
        </w:p>
        <w:p w14:paraId="0795E0DB" w14:textId="524B5A55"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Velandia Vargas, J.</w:t>
          </w:r>
          <w:r w:rsidR="00806D09">
            <w:rPr>
              <w:rFonts w:ascii="Arial" w:hAnsi="Arial" w:cs="Arial"/>
              <w:noProof/>
              <w:sz w:val="22"/>
              <w:szCs w:val="22"/>
            </w:rPr>
            <w:t xml:space="preserve"> E.</w:t>
          </w:r>
          <w:r w:rsidRPr="00F4040C">
            <w:rPr>
              <w:rFonts w:ascii="Arial" w:hAnsi="Arial" w:cs="Arial"/>
              <w:noProof/>
              <w:sz w:val="22"/>
              <w:szCs w:val="22"/>
            </w:rPr>
            <w:t>, Seabra, J.</w:t>
          </w:r>
          <w:r w:rsidR="00806D09">
            <w:rPr>
              <w:rFonts w:ascii="Arial" w:hAnsi="Arial" w:cs="Arial"/>
              <w:noProof/>
              <w:sz w:val="22"/>
              <w:szCs w:val="22"/>
            </w:rPr>
            <w:t xml:space="preserve"> E.</w:t>
          </w:r>
          <w:r w:rsidRPr="00F4040C">
            <w:rPr>
              <w:rFonts w:ascii="Arial" w:hAnsi="Arial" w:cs="Arial"/>
              <w:noProof/>
              <w:sz w:val="22"/>
              <w:szCs w:val="22"/>
            </w:rPr>
            <w:t>, Cavaliero, C.</w:t>
          </w:r>
          <w:r w:rsidR="00806D09">
            <w:rPr>
              <w:rFonts w:ascii="Arial" w:hAnsi="Arial" w:cs="Arial"/>
              <w:noProof/>
              <w:sz w:val="22"/>
              <w:szCs w:val="22"/>
            </w:rPr>
            <w:t xml:space="preserve"> K.</w:t>
          </w:r>
          <w:r w:rsidRPr="00F4040C">
            <w:rPr>
              <w:rFonts w:ascii="Arial" w:hAnsi="Arial" w:cs="Arial"/>
              <w:noProof/>
              <w:sz w:val="22"/>
              <w:szCs w:val="22"/>
            </w:rPr>
            <w:t>, Walter, A., Souza, S.</w:t>
          </w:r>
          <w:r w:rsidR="00806D09">
            <w:rPr>
              <w:rFonts w:ascii="Arial" w:hAnsi="Arial" w:cs="Arial"/>
              <w:noProof/>
              <w:sz w:val="22"/>
              <w:szCs w:val="22"/>
            </w:rPr>
            <w:t xml:space="preserve"> P.</w:t>
          </w:r>
          <w:r w:rsidRPr="00F4040C">
            <w:rPr>
              <w:rFonts w:ascii="Arial" w:hAnsi="Arial" w:cs="Arial"/>
              <w:noProof/>
              <w:sz w:val="22"/>
              <w:szCs w:val="22"/>
            </w:rPr>
            <w:t>, &amp; Falco, D.</w:t>
          </w:r>
          <w:r w:rsidR="00806D09">
            <w:rPr>
              <w:rFonts w:ascii="Arial" w:hAnsi="Arial" w:cs="Arial"/>
              <w:noProof/>
              <w:sz w:val="22"/>
              <w:szCs w:val="22"/>
            </w:rPr>
            <w:t xml:space="preserve"> G.</w:t>
          </w:r>
          <w:r w:rsidRPr="00F4040C">
            <w:rPr>
              <w:rFonts w:ascii="Arial" w:hAnsi="Arial" w:cs="Arial"/>
              <w:noProof/>
              <w:sz w:val="22"/>
              <w:szCs w:val="22"/>
            </w:rPr>
            <w:t xml:space="preserve"> (2020). </w:t>
          </w:r>
          <w:r w:rsidR="00806D09" w:rsidRPr="00806D09">
            <w:rPr>
              <w:rFonts w:ascii="Arial" w:hAnsi="Arial" w:cs="Arial"/>
              <w:noProof/>
              <w:sz w:val="22"/>
              <w:szCs w:val="22"/>
            </w:rPr>
            <w:t xml:space="preserve">The New Neighbor across the Street: An Outlook for Battery Electric Vehicles Adoption in Brazil. </w:t>
          </w:r>
          <w:r w:rsidR="00806D09" w:rsidRPr="00806D09">
            <w:rPr>
              <w:rFonts w:ascii="Arial" w:hAnsi="Arial" w:cs="Arial"/>
              <w:i/>
              <w:iCs/>
              <w:noProof/>
              <w:sz w:val="22"/>
              <w:szCs w:val="22"/>
            </w:rPr>
            <w:t>World Electric Vehicle Journal, 11</w:t>
          </w:r>
          <w:r w:rsidR="00806D09" w:rsidRPr="00806D09">
            <w:rPr>
              <w:rFonts w:ascii="Arial" w:hAnsi="Arial" w:cs="Arial"/>
              <w:noProof/>
              <w:sz w:val="22"/>
              <w:szCs w:val="22"/>
            </w:rPr>
            <w:t>(3), 60.</w:t>
          </w:r>
        </w:p>
        <w:p w14:paraId="1BDFF5BF" w14:textId="77777777" w:rsidR="0086234E" w:rsidRPr="00F4040C" w:rsidRDefault="0086234E" w:rsidP="0086234E"/>
        <w:p w14:paraId="79E35F19"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Virta. (2021) </w:t>
          </w:r>
          <w:r w:rsidRPr="009212D6">
            <w:rPr>
              <w:rFonts w:ascii="Arial" w:hAnsi="Arial" w:cs="Arial"/>
              <w:i/>
              <w:iCs/>
              <w:noProof/>
              <w:sz w:val="22"/>
              <w:szCs w:val="22"/>
            </w:rPr>
            <w:t>Smart Charging of Electric Vehicles</w:t>
          </w:r>
          <w:r w:rsidRPr="00F4040C">
            <w:rPr>
              <w:rFonts w:ascii="Arial" w:hAnsi="Arial" w:cs="Arial"/>
              <w:noProof/>
              <w:sz w:val="22"/>
              <w:szCs w:val="22"/>
            </w:rPr>
            <w:t xml:space="preserve">. Retrieved March 23, 2021, from </w:t>
          </w:r>
          <w:hyperlink r:id="rId21" w:history="1">
            <w:r w:rsidRPr="00F4040C">
              <w:rPr>
                <w:rStyle w:val="Hyperlink"/>
                <w:rFonts w:ascii="Arial" w:hAnsi="Arial" w:cs="Arial"/>
                <w:noProof/>
                <w:sz w:val="22"/>
                <w:szCs w:val="22"/>
              </w:rPr>
              <w:t>https://www.virta.global/smart-charging</w:t>
            </w:r>
          </w:hyperlink>
        </w:p>
        <w:p w14:paraId="22C4438F" w14:textId="77777777" w:rsidR="0086234E" w:rsidRPr="00F4040C" w:rsidRDefault="0086234E" w:rsidP="0086234E">
          <w:pPr>
            <w:rPr>
              <w:rFonts w:ascii="Arial" w:hAnsi="Arial" w:cs="Arial"/>
              <w:sz w:val="22"/>
              <w:szCs w:val="22"/>
            </w:rPr>
          </w:pPr>
        </w:p>
        <w:p w14:paraId="5E6099FE" w14:textId="77777777"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Wei, T. T. (2020, December 07). </w:t>
          </w:r>
          <w:r w:rsidRPr="009212D6">
            <w:rPr>
              <w:rFonts w:ascii="Arial" w:hAnsi="Arial" w:cs="Arial"/>
              <w:i/>
              <w:iCs/>
              <w:noProof/>
              <w:sz w:val="22"/>
              <w:szCs w:val="22"/>
            </w:rPr>
            <w:t>Training facility set up for technicians to learn how to service electric hybrid cars</w:t>
          </w:r>
          <w:r w:rsidRPr="00F4040C">
            <w:rPr>
              <w:rFonts w:ascii="Arial" w:hAnsi="Arial" w:cs="Arial"/>
              <w:noProof/>
              <w:sz w:val="22"/>
              <w:szCs w:val="22"/>
            </w:rPr>
            <w:t xml:space="preserve">. Retrieved March 20, 2021, from </w:t>
          </w:r>
          <w:hyperlink r:id="rId22" w:history="1">
            <w:r w:rsidRPr="00F4040C">
              <w:rPr>
                <w:rStyle w:val="Hyperlink"/>
                <w:rFonts w:ascii="Arial" w:hAnsi="Arial" w:cs="Arial"/>
                <w:noProof/>
                <w:sz w:val="22"/>
                <w:szCs w:val="22"/>
              </w:rPr>
              <w:t>https://www.enterprisesg.gov.sg/media-centre/news/2020/december/training-facility-set-up-for-technicians-to-learn-how-to-service-electric-hybrid-cars</w:t>
            </w:r>
          </w:hyperlink>
          <w:r w:rsidRPr="00F4040C">
            <w:rPr>
              <w:rFonts w:ascii="Arial" w:hAnsi="Arial" w:cs="Arial"/>
              <w:noProof/>
              <w:sz w:val="22"/>
              <w:szCs w:val="22"/>
            </w:rPr>
            <w:t> </w:t>
          </w:r>
        </w:p>
        <w:p w14:paraId="3B008555" w14:textId="77777777" w:rsidR="0086234E" w:rsidRPr="00F4040C" w:rsidRDefault="0086234E" w:rsidP="0086234E">
          <w:pPr>
            <w:rPr>
              <w:rFonts w:ascii="Arial" w:hAnsi="Arial" w:cs="Arial"/>
              <w:sz w:val="22"/>
              <w:szCs w:val="22"/>
            </w:rPr>
          </w:pPr>
        </w:p>
        <w:p w14:paraId="2F881892" w14:textId="0D66184D" w:rsidR="0086234E" w:rsidRDefault="0086234E" w:rsidP="00F2332D">
          <w:pPr>
            <w:pStyle w:val="Bibliography"/>
            <w:ind w:left="720" w:hanging="720"/>
            <w:rPr>
              <w:rFonts w:ascii="Arial" w:hAnsi="Arial" w:cs="Arial"/>
              <w:noProof/>
              <w:sz w:val="22"/>
              <w:szCs w:val="22"/>
            </w:rPr>
          </w:pPr>
          <w:r w:rsidRPr="00F4040C">
            <w:rPr>
              <w:rFonts w:ascii="Arial" w:hAnsi="Arial" w:cs="Arial"/>
              <w:noProof/>
              <w:sz w:val="22"/>
              <w:szCs w:val="22"/>
            </w:rPr>
            <w:t xml:space="preserve">Wolbertus, R., &amp; </w:t>
          </w:r>
          <w:r w:rsidR="00F2332D">
            <w:rPr>
              <w:rFonts w:ascii="Arial" w:hAnsi="Arial" w:cs="Arial"/>
              <w:noProof/>
              <w:sz w:val="22"/>
              <w:szCs w:val="22"/>
            </w:rPr>
            <w:t>v</w:t>
          </w:r>
          <w:r w:rsidRPr="00F4040C">
            <w:rPr>
              <w:rFonts w:ascii="Arial" w:hAnsi="Arial" w:cs="Arial"/>
              <w:noProof/>
              <w:sz w:val="22"/>
              <w:szCs w:val="22"/>
            </w:rPr>
            <w:t xml:space="preserve">an den Hoed, R. (2020). </w:t>
          </w:r>
          <w:r w:rsidR="00F2332D" w:rsidRPr="00F2332D">
            <w:rPr>
              <w:rFonts w:ascii="Arial" w:hAnsi="Arial" w:cs="Arial"/>
              <w:noProof/>
              <w:sz w:val="22"/>
              <w:szCs w:val="22"/>
            </w:rPr>
            <w:t xml:space="preserve">Fast Charging Systems for Passenger Electric Vehicles. </w:t>
          </w:r>
          <w:r w:rsidR="00F2332D" w:rsidRPr="00F2332D">
            <w:rPr>
              <w:rFonts w:ascii="Arial" w:hAnsi="Arial" w:cs="Arial"/>
              <w:i/>
              <w:iCs/>
              <w:noProof/>
              <w:sz w:val="22"/>
              <w:szCs w:val="22"/>
            </w:rPr>
            <w:t>World Electric Vehicle Journal, 11</w:t>
          </w:r>
          <w:r w:rsidR="00F2332D" w:rsidRPr="00F2332D">
            <w:rPr>
              <w:rFonts w:ascii="Arial" w:hAnsi="Arial" w:cs="Arial"/>
              <w:noProof/>
              <w:sz w:val="22"/>
              <w:szCs w:val="22"/>
            </w:rPr>
            <w:t>(4), 73.</w:t>
          </w:r>
        </w:p>
        <w:p w14:paraId="20BEF227" w14:textId="77777777" w:rsidR="00F2332D" w:rsidRPr="00F2332D" w:rsidRDefault="00F2332D" w:rsidP="00F2332D"/>
        <w:p w14:paraId="13236000" w14:textId="36A009F9" w:rsidR="0086234E" w:rsidRPr="00F4040C" w:rsidRDefault="0086234E" w:rsidP="0086234E">
          <w:pPr>
            <w:pStyle w:val="Bibliography"/>
            <w:ind w:left="720" w:hanging="720"/>
            <w:rPr>
              <w:rFonts w:ascii="Arial" w:hAnsi="Arial" w:cs="Arial"/>
              <w:noProof/>
              <w:sz w:val="22"/>
              <w:szCs w:val="22"/>
            </w:rPr>
          </w:pPr>
          <w:r w:rsidRPr="00F4040C">
            <w:rPr>
              <w:rFonts w:ascii="Arial" w:hAnsi="Arial" w:cs="Arial"/>
              <w:noProof/>
              <w:sz w:val="22"/>
              <w:szCs w:val="22"/>
            </w:rPr>
            <w:t xml:space="preserve">Wolf, S., &amp; Korzynietz, R. (2019). </w:t>
          </w:r>
          <w:r w:rsidR="00F2332D" w:rsidRPr="00F2332D">
            <w:rPr>
              <w:rFonts w:ascii="Arial" w:hAnsi="Arial" w:cs="Arial"/>
              <w:noProof/>
              <w:sz w:val="22"/>
              <w:szCs w:val="22"/>
            </w:rPr>
            <w:t xml:space="preserve">Innovation Needs for the Integration of Electric Vehicles into the Energy System. </w:t>
          </w:r>
          <w:r w:rsidR="00F2332D" w:rsidRPr="00F2332D">
            <w:rPr>
              <w:rFonts w:ascii="Arial" w:hAnsi="Arial" w:cs="Arial"/>
              <w:i/>
              <w:iCs/>
              <w:noProof/>
              <w:sz w:val="22"/>
              <w:szCs w:val="22"/>
            </w:rPr>
            <w:t>World Electric Vehicle Journal, 10</w:t>
          </w:r>
          <w:r w:rsidR="00F2332D" w:rsidRPr="00F2332D">
            <w:rPr>
              <w:rFonts w:ascii="Arial" w:hAnsi="Arial" w:cs="Arial"/>
              <w:noProof/>
              <w:sz w:val="22"/>
              <w:szCs w:val="22"/>
            </w:rPr>
            <w:t>(4), 76.</w:t>
          </w:r>
        </w:p>
        <w:p w14:paraId="4F269400" w14:textId="77777777" w:rsidR="0086234E" w:rsidRPr="00F4040C" w:rsidRDefault="0086234E" w:rsidP="0086234E">
          <w:pPr>
            <w:rPr>
              <w:rFonts w:ascii="Arial" w:hAnsi="Arial" w:cs="Arial"/>
              <w:sz w:val="22"/>
              <w:szCs w:val="22"/>
            </w:rPr>
          </w:pPr>
        </w:p>
        <w:p w14:paraId="1608A017" w14:textId="77777777" w:rsidR="0086234E" w:rsidRPr="00F4040C" w:rsidRDefault="0086234E" w:rsidP="0086234E">
          <w:pPr>
            <w:pStyle w:val="Bibliography"/>
            <w:ind w:left="720" w:hanging="720"/>
            <w:rPr>
              <w:noProof/>
            </w:rPr>
          </w:pPr>
          <w:r w:rsidRPr="00F4040C">
            <w:rPr>
              <w:rFonts w:ascii="Arial" w:hAnsi="Arial" w:cs="Arial"/>
              <w:noProof/>
              <w:sz w:val="22"/>
              <w:szCs w:val="22"/>
            </w:rPr>
            <w:t xml:space="preserve">Zhang, P. (2020, August 20). </w:t>
          </w:r>
          <w:r w:rsidRPr="009212D6">
            <w:rPr>
              <w:rFonts w:ascii="Arial" w:hAnsi="Arial" w:cs="Arial"/>
              <w:i/>
              <w:iCs/>
              <w:noProof/>
              <w:sz w:val="22"/>
              <w:szCs w:val="22"/>
            </w:rPr>
            <w:t>NIO launches BaaS battery rental service, brings car prices down by about $10,000</w:t>
          </w:r>
          <w:r w:rsidRPr="00F4040C">
            <w:rPr>
              <w:rFonts w:ascii="Arial" w:hAnsi="Arial" w:cs="Arial"/>
              <w:noProof/>
              <w:sz w:val="22"/>
              <w:szCs w:val="22"/>
            </w:rPr>
            <w:t xml:space="preserve">. Retrieved March 23, 2021, from </w:t>
          </w:r>
          <w:hyperlink r:id="rId23" w:history="1">
            <w:r w:rsidRPr="00F4040C">
              <w:rPr>
                <w:rStyle w:val="Hyperlink"/>
                <w:rFonts w:ascii="Arial" w:hAnsi="Arial" w:cs="Arial"/>
                <w:noProof/>
                <w:sz w:val="22"/>
                <w:szCs w:val="22"/>
              </w:rPr>
              <w:t>https://cntechpost.com/2020/08/20/nio-launches-baas-battery-rental-service/</w:t>
            </w:r>
          </w:hyperlink>
        </w:p>
      </w:sdtContent>
    </w:sdt>
    <w:p w14:paraId="0E72A584" w14:textId="77777777" w:rsidR="0086234E" w:rsidRPr="0086234E" w:rsidRDefault="0086234E" w:rsidP="0086234E"/>
    <w:sectPr w:rsidR="0086234E" w:rsidRPr="0086234E" w:rsidSect="00B90E98">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DA1BB" w14:textId="77777777" w:rsidR="006C357C" w:rsidRDefault="006C357C" w:rsidP="00076EA4">
      <w:r>
        <w:separator/>
      </w:r>
    </w:p>
  </w:endnote>
  <w:endnote w:type="continuationSeparator" w:id="0">
    <w:p w14:paraId="7065396F" w14:textId="77777777" w:rsidR="006C357C" w:rsidRDefault="006C357C" w:rsidP="0007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528289"/>
      <w:docPartObj>
        <w:docPartGallery w:val="Page Numbers (Bottom of Page)"/>
        <w:docPartUnique/>
      </w:docPartObj>
    </w:sdtPr>
    <w:sdtEndPr/>
    <w:sdtContent>
      <w:sdt>
        <w:sdtPr>
          <w:id w:val="1728636285"/>
          <w:docPartObj>
            <w:docPartGallery w:val="Page Numbers (Top of Page)"/>
            <w:docPartUnique/>
          </w:docPartObj>
        </w:sdtPr>
        <w:sdtEndPr/>
        <w:sdtContent>
          <w:p w14:paraId="27E01C69" w14:textId="5524C4F8" w:rsidR="00076EA4" w:rsidRDefault="00076EA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E41F25" w14:textId="77777777" w:rsidR="00076EA4" w:rsidRDefault="00076EA4" w:rsidP="00076EA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36EB1" w14:textId="77777777" w:rsidR="006C357C" w:rsidRDefault="006C357C" w:rsidP="00076EA4">
      <w:r>
        <w:separator/>
      </w:r>
    </w:p>
  </w:footnote>
  <w:footnote w:type="continuationSeparator" w:id="0">
    <w:p w14:paraId="36A578D5" w14:textId="77777777" w:rsidR="006C357C" w:rsidRDefault="006C357C" w:rsidP="00076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C6FD0"/>
    <w:multiLevelType w:val="multilevel"/>
    <w:tmpl w:val="76CC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C3EB7"/>
    <w:multiLevelType w:val="multilevel"/>
    <w:tmpl w:val="56B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E0"/>
    <w:rsid w:val="000121A8"/>
    <w:rsid w:val="000738D8"/>
    <w:rsid w:val="00076EA4"/>
    <w:rsid w:val="00101706"/>
    <w:rsid w:val="00144C99"/>
    <w:rsid w:val="00162885"/>
    <w:rsid w:val="00167221"/>
    <w:rsid w:val="001C68F5"/>
    <w:rsid w:val="00223E52"/>
    <w:rsid w:val="0022484C"/>
    <w:rsid w:val="002956E9"/>
    <w:rsid w:val="002A49E9"/>
    <w:rsid w:val="002F7363"/>
    <w:rsid w:val="003A70A2"/>
    <w:rsid w:val="003D2A92"/>
    <w:rsid w:val="004B6BDE"/>
    <w:rsid w:val="004D5C06"/>
    <w:rsid w:val="004F2B7E"/>
    <w:rsid w:val="00506F08"/>
    <w:rsid w:val="005632C4"/>
    <w:rsid w:val="005B019A"/>
    <w:rsid w:val="005C1A64"/>
    <w:rsid w:val="006237D5"/>
    <w:rsid w:val="006C357C"/>
    <w:rsid w:val="006D1192"/>
    <w:rsid w:val="00715936"/>
    <w:rsid w:val="007907E6"/>
    <w:rsid w:val="00806D09"/>
    <w:rsid w:val="008401CA"/>
    <w:rsid w:val="0086234E"/>
    <w:rsid w:val="008B7A6C"/>
    <w:rsid w:val="008D3BC7"/>
    <w:rsid w:val="00911532"/>
    <w:rsid w:val="009212D6"/>
    <w:rsid w:val="00923B07"/>
    <w:rsid w:val="00950AB9"/>
    <w:rsid w:val="00A24C7F"/>
    <w:rsid w:val="00A62BE0"/>
    <w:rsid w:val="00B70C1B"/>
    <w:rsid w:val="00B90E98"/>
    <w:rsid w:val="00B9699B"/>
    <w:rsid w:val="00C801F5"/>
    <w:rsid w:val="00C8187A"/>
    <w:rsid w:val="00CC77AB"/>
    <w:rsid w:val="00DA5307"/>
    <w:rsid w:val="00E62211"/>
    <w:rsid w:val="00EA5A62"/>
    <w:rsid w:val="00ED77DC"/>
    <w:rsid w:val="00F2332D"/>
    <w:rsid w:val="00F4040C"/>
    <w:rsid w:val="00F55EF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28BB6"/>
  <w15:chartTrackingRefBased/>
  <w15:docId w15:val="{23E185B0-A573-4E41-B7EA-1DCF5375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40C"/>
  </w:style>
  <w:style w:type="paragraph" w:styleId="Heading1">
    <w:name w:val="heading 1"/>
    <w:basedOn w:val="Normal"/>
    <w:next w:val="Normal"/>
    <w:link w:val="Heading1Char"/>
    <w:uiPriority w:val="9"/>
    <w:qFormat/>
    <w:rsid w:val="00A62B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B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040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4040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40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B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2B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62BE0"/>
    <w:pPr>
      <w:spacing w:before="120" w:after="120"/>
    </w:pPr>
    <w:rPr>
      <w:b/>
      <w:bCs/>
      <w:caps/>
      <w:sz w:val="20"/>
      <w:szCs w:val="20"/>
    </w:rPr>
  </w:style>
  <w:style w:type="paragraph" w:styleId="TOC2">
    <w:name w:val="toc 2"/>
    <w:basedOn w:val="Normal"/>
    <w:next w:val="Normal"/>
    <w:autoRedefine/>
    <w:uiPriority w:val="39"/>
    <w:unhideWhenUsed/>
    <w:rsid w:val="00A62BE0"/>
    <w:pPr>
      <w:ind w:left="240"/>
    </w:pPr>
    <w:rPr>
      <w:smallCaps/>
      <w:sz w:val="20"/>
      <w:szCs w:val="20"/>
    </w:rPr>
  </w:style>
  <w:style w:type="paragraph" w:styleId="TOC3">
    <w:name w:val="toc 3"/>
    <w:basedOn w:val="Normal"/>
    <w:next w:val="Normal"/>
    <w:autoRedefine/>
    <w:uiPriority w:val="39"/>
    <w:unhideWhenUsed/>
    <w:rsid w:val="00A62BE0"/>
    <w:pPr>
      <w:ind w:left="480"/>
    </w:pPr>
    <w:rPr>
      <w:i/>
      <w:iCs/>
      <w:sz w:val="20"/>
      <w:szCs w:val="20"/>
    </w:rPr>
  </w:style>
  <w:style w:type="paragraph" w:styleId="TOC4">
    <w:name w:val="toc 4"/>
    <w:basedOn w:val="Normal"/>
    <w:next w:val="Normal"/>
    <w:autoRedefine/>
    <w:uiPriority w:val="39"/>
    <w:semiHidden/>
    <w:unhideWhenUsed/>
    <w:rsid w:val="00A62BE0"/>
    <w:pPr>
      <w:ind w:left="720"/>
    </w:pPr>
    <w:rPr>
      <w:sz w:val="18"/>
      <w:szCs w:val="18"/>
    </w:rPr>
  </w:style>
  <w:style w:type="paragraph" w:styleId="TOC5">
    <w:name w:val="toc 5"/>
    <w:basedOn w:val="Normal"/>
    <w:next w:val="Normal"/>
    <w:autoRedefine/>
    <w:uiPriority w:val="39"/>
    <w:semiHidden/>
    <w:unhideWhenUsed/>
    <w:rsid w:val="00A62BE0"/>
    <w:pPr>
      <w:ind w:left="960"/>
    </w:pPr>
    <w:rPr>
      <w:sz w:val="18"/>
      <w:szCs w:val="18"/>
    </w:rPr>
  </w:style>
  <w:style w:type="paragraph" w:styleId="TOC6">
    <w:name w:val="toc 6"/>
    <w:basedOn w:val="Normal"/>
    <w:next w:val="Normal"/>
    <w:autoRedefine/>
    <w:uiPriority w:val="39"/>
    <w:semiHidden/>
    <w:unhideWhenUsed/>
    <w:rsid w:val="00A62BE0"/>
    <w:pPr>
      <w:ind w:left="1200"/>
    </w:pPr>
    <w:rPr>
      <w:sz w:val="18"/>
      <w:szCs w:val="18"/>
    </w:rPr>
  </w:style>
  <w:style w:type="paragraph" w:styleId="TOC7">
    <w:name w:val="toc 7"/>
    <w:basedOn w:val="Normal"/>
    <w:next w:val="Normal"/>
    <w:autoRedefine/>
    <w:uiPriority w:val="39"/>
    <w:semiHidden/>
    <w:unhideWhenUsed/>
    <w:rsid w:val="00A62BE0"/>
    <w:pPr>
      <w:ind w:left="1440"/>
    </w:pPr>
    <w:rPr>
      <w:sz w:val="18"/>
      <w:szCs w:val="18"/>
    </w:rPr>
  </w:style>
  <w:style w:type="paragraph" w:styleId="TOC8">
    <w:name w:val="toc 8"/>
    <w:basedOn w:val="Normal"/>
    <w:next w:val="Normal"/>
    <w:autoRedefine/>
    <w:uiPriority w:val="39"/>
    <w:semiHidden/>
    <w:unhideWhenUsed/>
    <w:rsid w:val="00A62BE0"/>
    <w:pPr>
      <w:ind w:left="1680"/>
    </w:pPr>
    <w:rPr>
      <w:sz w:val="18"/>
      <w:szCs w:val="18"/>
    </w:rPr>
  </w:style>
  <w:style w:type="paragraph" w:styleId="TOC9">
    <w:name w:val="toc 9"/>
    <w:basedOn w:val="Normal"/>
    <w:next w:val="Normal"/>
    <w:autoRedefine/>
    <w:uiPriority w:val="39"/>
    <w:semiHidden/>
    <w:unhideWhenUsed/>
    <w:rsid w:val="00A62BE0"/>
    <w:pPr>
      <w:ind w:left="1920"/>
    </w:pPr>
    <w:rPr>
      <w:sz w:val="18"/>
      <w:szCs w:val="18"/>
    </w:rPr>
  </w:style>
  <w:style w:type="character" w:customStyle="1" w:styleId="Heading2Char">
    <w:name w:val="Heading 2 Char"/>
    <w:basedOn w:val="DefaultParagraphFont"/>
    <w:link w:val="Heading2"/>
    <w:uiPriority w:val="9"/>
    <w:rsid w:val="00A62B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62BE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62BE0"/>
    <w:rPr>
      <w:color w:val="0000FF"/>
      <w:u w:val="single"/>
    </w:rPr>
  </w:style>
  <w:style w:type="character" w:styleId="FollowedHyperlink">
    <w:name w:val="FollowedHyperlink"/>
    <w:basedOn w:val="DefaultParagraphFont"/>
    <w:uiPriority w:val="99"/>
    <w:semiHidden/>
    <w:unhideWhenUsed/>
    <w:rsid w:val="00144C99"/>
    <w:rPr>
      <w:color w:val="954F72" w:themeColor="followedHyperlink"/>
      <w:u w:val="single"/>
    </w:rPr>
  </w:style>
  <w:style w:type="character" w:customStyle="1" w:styleId="Heading3Char">
    <w:name w:val="Heading 3 Char"/>
    <w:basedOn w:val="DefaultParagraphFont"/>
    <w:link w:val="Heading3"/>
    <w:uiPriority w:val="9"/>
    <w:semiHidden/>
    <w:rsid w:val="00F404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404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40C"/>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F4040C"/>
  </w:style>
  <w:style w:type="paragraph" w:customStyle="1" w:styleId="SectionTitle">
    <w:name w:val="Section Title"/>
    <w:basedOn w:val="Normal"/>
    <w:uiPriority w:val="2"/>
    <w:qFormat/>
    <w:rsid w:val="00F4040C"/>
    <w:pPr>
      <w:pageBreakBefore/>
      <w:spacing w:line="480" w:lineRule="auto"/>
      <w:jc w:val="center"/>
      <w:outlineLvl w:val="0"/>
    </w:pPr>
    <w:rPr>
      <w:rFonts w:asciiTheme="majorHAnsi" w:eastAsiaTheme="majorEastAsia" w:hAnsiTheme="majorHAnsi" w:cstheme="majorBidi"/>
      <w:kern w:val="24"/>
      <w:lang w:val="en-US" w:eastAsia="ja-JP"/>
    </w:rPr>
  </w:style>
  <w:style w:type="paragraph" w:styleId="NoSpacing">
    <w:name w:val="No Spacing"/>
    <w:aliases w:val="No Indent"/>
    <w:uiPriority w:val="3"/>
    <w:qFormat/>
    <w:rsid w:val="00F4040C"/>
    <w:pPr>
      <w:spacing w:line="480" w:lineRule="auto"/>
    </w:pPr>
    <w:rPr>
      <w:rFonts w:eastAsiaTheme="minorEastAsia"/>
      <w:lang w:val="en-US" w:eastAsia="ja-JP"/>
    </w:rPr>
  </w:style>
  <w:style w:type="paragraph" w:styleId="Title">
    <w:name w:val="Title"/>
    <w:basedOn w:val="Normal"/>
    <w:link w:val="TitleChar"/>
    <w:qFormat/>
    <w:rsid w:val="00F4040C"/>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rsid w:val="00F4040C"/>
    <w:rPr>
      <w:rFonts w:asciiTheme="majorHAnsi" w:eastAsiaTheme="majorEastAsia" w:hAnsiTheme="majorHAnsi" w:cstheme="majorBidi"/>
      <w:kern w:val="24"/>
      <w:lang w:val="en-US" w:eastAsia="ja-JP"/>
    </w:rPr>
  </w:style>
  <w:style w:type="character" w:styleId="Emphasis">
    <w:name w:val="Emphasis"/>
    <w:basedOn w:val="DefaultParagraphFont"/>
    <w:uiPriority w:val="4"/>
    <w:unhideWhenUsed/>
    <w:qFormat/>
    <w:rsid w:val="00F4040C"/>
    <w:rPr>
      <w:i/>
      <w:iCs/>
    </w:rPr>
  </w:style>
  <w:style w:type="character" w:styleId="FootnoteReference">
    <w:name w:val="footnote reference"/>
    <w:basedOn w:val="DefaultParagraphFont"/>
    <w:uiPriority w:val="5"/>
    <w:unhideWhenUsed/>
    <w:qFormat/>
    <w:rsid w:val="00F4040C"/>
    <w:rPr>
      <w:vertAlign w:val="superscript"/>
    </w:rPr>
  </w:style>
  <w:style w:type="table" w:customStyle="1" w:styleId="APAReport">
    <w:name w:val="APA Report"/>
    <w:basedOn w:val="TableNormal"/>
    <w:uiPriority w:val="99"/>
    <w:rsid w:val="00F4040C"/>
    <w:rPr>
      <w:rFonts w:eastAsiaTheme="minorEastAsia"/>
      <w:lang w:val="en-US"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F4040C"/>
    <w:pPr>
      <w:spacing w:before="240" w:line="480" w:lineRule="auto"/>
      <w:contextualSpacing/>
    </w:pPr>
    <w:rPr>
      <w:rFonts w:eastAsiaTheme="minorEastAsia"/>
      <w:kern w:val="24"/>
      <w:lang w:val="en-US" w:eastAsia="ja-JP"/>
    </w:rPr>
  </w:style>
  <w:style w:type="paragraph" w:customStyle="1" w:styleId="Title2">
    <w:name w:val="Title 2"/>
    <w:basedOn w:val="Normal"/>
    <w:uiPriority w:val="1"/>
    <w:qFormat/>
    <w:rsid w:val="00F4040C"/>
    <w:pPr>
      <w:spacing w:line="480" w:lineRule="auto"/>
      <w:jc w:val="center"/>
    </w:pPr>
    <w:rPr>
      <w:rFonts w:eastAsiaTheme="minorEastAsia"/>
      <w:kern w:val="24"/>
      <w:lang w:val="en-US" w:eastAsia="ja-JP"/>
    </w:rPr>
  </w:style>
  <w:style w:type="character" w:styleId="UnresolvedMention">
    <w:name w:val="Unresolved Mention"/>
    <w:basedOn w:val="DefaultParagraphFont"/>
    <w:uiPriority w:val="99"/>
    <w:semiHidden/>
    <w:unhideWhenUsed/>
    <w:rsid w:val="00F4040C"/>
    <w:rPr>
      <w:color w:val="605E5C"/>
      <w:shd w:val="clear" w:color="auto" w:fill="E1DFDD"/>
    </w:rPr>
  </w:style>
  <w:style w:type="paragraph" w:styleId="Header">
    <w:name w:val="header"/>
    <w:basedOn w:val="Normal"/>
    <w:link w:val="HeaderChar"/>
    <w:uiPriority w:val="99"/>
    <w:unhideWhenUsed/>
    <w:rsid w:val="00076EA4"/>
    <w:pPr>
      <w:tabs>
        <w:tab w:val="center" w:pos="4680"/>
        <w:tab w:val="right" w:pos="9360"/>
      </w:tabs>
    </w:pPr>
  </w:style>
  <w:style w:type="character" w:customStyle="1" w:styleId="HeaderChar">
    <w:name w:val="Header Char"/>
    <w:basedOn w:val="DefaultParagraphFont"/>
    <w:link w:val="Header"/>
    <w:uiPriority w:val="99"/>
    <w:rsid w:val="00076EA4"/>
  </w:style>
  <w:style w:type="paragraph" w:styleId="Footer">
    <w:name w:val="footer"/>
    <w:basedOn w:val="Normal"/>
    <w:link w:val="FooterChar"/>
    <w:uiPriority w:val="99"/>
    <w:unhideWhenUsed/>
    <w:rsid w:val="00076EA4"/>
    <w:pPr>
      <w:tabs>
        <w:tab w:val="center" w:pos="4680"/>
        <w:tab w:val="right" w:pos="9360"/>
      </w:tabs>
    </w:pPr>
  </w:style>
  <w:style w:type="character" w:customStyle="1" w:styleId="FooterChar">
    <w:name w:val="Footer Char"/>
    <w:basedOn w:val="DefaultParagraphFont"/>
    <w:link w:val="Footer"/>
    <w:uiPriority w:val="99"/>
    <w:rsid w:val="0007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19246">
      <w:bodyDiv w:val="1"/>
      <w:marLeft w:val="0"/>
      <w:marRight w:val="0"/>
      <w:marTop w:val="0"/>
      <w:marBottom w:val="0"/>
      <w:divBdr>
        <w:top w:val="none" w:sz="0" w:space="0" w:color="auto"/>
        <w:left w:val="none" w:sz="0" w:space="0" w:color="auto"/>
        <w:bottom w:val="none" w:sz="0" w:space="0" w:color="auto"/>
        <w:right w:val="none" w:sz="0" w:space="0" w:color="auto"/>
      </w:divBdr>
    </w:div>
    <w:div w:id="338701442">
      <w:bodyDiv w:val="1"/>
      <w:marLeft w:val="0"/>
      <w:marRight w:val="0"/>
      <w:marTop w:val="0"/>
      <w:marBottom w:val="0"/>
      <w:divBdr>
        <w:top w:val="none" w:sz="0" w:space="0" w:color="auto"/>
        <w:left w:val="none" w:sz="0" w:space="0" w:color="auto"/>
        <w:bottom w:val="none" w:sz="0" w:space="0" w:color="auto"/>
        <w:right w:val="none" w:sz="0" w:space="0" w:color="auto"/>
      </w:divBdr>
    </w:div>
    <w:div w:id="547689945">
      <w:bodyDiv w:val="1"/>
      <w:marLeft w:val="0"/>
      <w:marRight w:val="0"/>
      <w:marTop w:val="0"/>
      <w:marBottom w:val="0"/>
      <w:divBdr>
        <w:top w:val="none" w:sz="0" w:space="0" w:color="auto"/>
        <w:left w:val="none" w:sz="0" w:space="0" w:color="auto"/>
        <w:bottom w:val="none" w:sz="0" w:space="0" w:color="auto"/>
        <w:right w:val="none" w:sz="0" w:space="0" w:color="auto"/>
      </w:divBdr>
    </w:div>
    <w:div w:id="657461857">
      <w:bodyDiv w:val="1"/>
      <w:marLeft w:val="0"/>
      <w:marRight w:val="0"/>
      <w:marTop w:val="0"/>
      <w:marBottom w:val="0"/>
      <w:divBdr>
        <w:top w:val="none" w:sz="0" w:space="0" w:color="auto"/>
        <w:left w:val="none" w:sz="0" w:space="0" w:color="auto"/>
        <w:bottom w:val="none" w:sz="0" w:space="0" w:color="auto"/>
        <w:right w:val="none" w:sz="0" w:space="0" w:color="auto"/>
      </w:divBdr>
    </w:div>
    <w:div w:id="674499927">
      <w:bodyDiv w:val="1"/>
      <w:marLeft w:val="0"/>
      <w:marRight w:val="0"/>
      <w:marTop w:val="0"/>
      <w:marBottom w:val="0"/>
      <w:divBdr>
        <w:top w:val="none" w:sz="0" w:space="0" w:color="auto"/>
        <w:left w:val="none" w:sz="0" w:space="0" w:color="auto"/>
        <w:bottom w:val="none" w:sz="0" w:space="0" w:color="auto"/>
        <w:right w:val="none" w:sz="0" w:space="0" w:color="auto"/>
      </w:divBdr>
    </w:div>
    <w:div w:id="842161412">
      <w:bodyDiv w:val="1"/>
      <w:marLeft w:val="0"/>
      <w:marRight w:val="0"/>
      <w:marTop w:val="0"/>
      <w:marBottom w:val="0"/>
      <w:divBdr>
        <w:top w:val="none" w:sz="0" w:space="0" w:color="auto"/>
        <w:left w:val="none" w:sz="0" w:space="0" w:color="auto"/>
        <w:bottom w:val="none" w:sz="0" w:space="0" w:color="auto"/>
        <w:right w:val="none" w:sz="0" w:space="0" w:color="auto"/>
      </w:divBdr>
    </w:div>
    <w:div w:id="893613862">
      <w:bodyDiv w:val="1"/>
      <w:marLeft w:val="0"/>
      <w:marRight w:val="0"/>
      <w:marTop w:val="0"/>
      <w:marBottom w:val="0"/>
      <w:divBdr>
        <w:top w:val="none" w:sz="0" w:space="0" w:color="auto"/>
        <w:left w:val="none" w:sz="0" w:space="0" w:color="auto"/>
        <w:bottom w:val="none" w:sz="0" w:space="0" w:color="auto"/>
        <w:right w:val="none" w:sz="0" w:space="0" w:color="auto"/>
      </w:divBdr>
    </w:div>
    <w:div w:id="983318397">
      <w:bodyDiv w:val="1"/>
      <w:marLeft w:val="0"/>
      <w:marRight w:val="0"/>
      <w:marTop w:val="0"/>
      <w:marBottom w:val="0"/>
      <w:divBdr>
        <w:top w:val="none" w:sz="0" w:space="0" w:color="auto"/>
        <w:left w:val="none" w:sz="0" w:space="0" w:color="auto"/>
        <w:bottom w:val="none" w:sz="0" w:space="0" w:color="auto"/>
        <w:right w:val="none" w:sz="0" w:space="0" w:color="auto"/>
      </w:divBdr>
    </w:div>
    <w:div w:id="1012609045">
      <w:bodyDiv w:val="1"/>
      <w:marLeft w:val="0"/>
      <w:marRight w:val="0"/>
      <w:marTop w:val="0"/>
      <w:marBottom w:val="0"/>
      <w:divBdr>
        <w:top w:val="none" w:sz="0" w:space="0" w:color="auto"/>
        <w:left w:val="none" w:sz="0" w:space="0" w:color="auto"/>
        <w:bottom w:val="none" w:sz="0" w:space="0" w:color="auto"/>
        <w:right w:val="none" w:sz="0" w:space="0" w:color="auto"/>
      </w:divBdr>
    </w:div>
    <w:div w:id="1034043685">
      <w:bodyDiv w:val="1"/>
      <w:marLeft w:val="0"/>
      <w:marRight w:val="0"/>
      <w:marTop w:val="0"/>
      <w:marBottom w:val="0"/>
      <w:divBdr>
        <w:top w:val="none" w:sz="0" w:space="0" w:color="auto"/>
        <w:left w:val="none" w:sz="0" w:space="0" w:color="auto"/>
        <w:bottom w:val="none" w:sz="0" w:space="0" w:color="auto"/>
        <w:right w:val="none" w:sz="0" w:space="0" w:color="auto"/>
      </w:divBdr>
    </w:div>
    <w:div w:id="1270430736">
      <w:bodyDiv w:val="1"/>
      <w:marLeft w:val="0"/>
      <w:marRight w:val="0"/>
      <w:marTop w:val="0"/>
      <w:marBottom w:val="0"/>
      <w:divBdr>
        <w:top w:val="none" w:sz="0" w:space="0" w:color="auto"/>
        <w:left w:val="none" w:sz="0" w:space="0" w:color="auto"/>
        <w:bottom w:val="none" w:sz="0" w:space="0" w:color="auto"/>
        <w:right w:val="none" w:sz="0" w:space="0" w:color="auto"/>
      </w:divBdr>
    </w:div>
    <w:div w:id="20156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anddriver.com/news/a34992832/battery-price-drop-2023/" TargetMode="External"/><Relationship Id="rId13" Type="http://schemas.openxmlformats.org/officeDocument/2006/relationships/hyperlink" Target="https://www.mckinsey.com/industries/electric-power-and-natural-gas/our-insights/how-charging-in-buildings-can-power-up-the-electric-vehicle-industry" TargetMode="External"/><Relationship Id="rId18" Type="http://schemas.openxmlformats.org/officeDocument/2006/relationships/hyperlink" Target="https://insideevs.com/news/456776/nio-swappable-battery-pack-standar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virta.global/smart-charging" TargetMode="External"/><Relationship Id="rId7" Type="http://schemas.openxmlformats.org/officeDocument/2006/relationships/endnotes" Target="endnotes.xml"/><Relationship Id="rId12" Type="http://schemas.openxmlformats.org/officeDocument/2006/relationships/hyperlink" Target="https://landtransportguru.net/history-of-the-singapore-mrt/" TargetMode="External"/><Relationship Id="rId17" Type="http://schemas.openxmlformats.org/officeDocument/2006/relationships/hyperlink" Target="https://data.gov.sg/dataset/public-transport-utilisation-average-public-transport-ridersh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emotoring.lta.gov.sg/content/onemotoring/home/buying/upfront-vehicle-costs/emissions-charges.html" TargetMode="External"/><Relationship Id="rId20" Type="http://schemas.openxmlformats.org/officeDocument/2006/relationships/hyperlink" Target="https://techcrunch.com/2021/02/11/planning-500000-charging-points-for-evs-by-2025-shell-becomes-the-latest-company-swept-up-in-ev-charging-boom/?guccounter=1&amp;guce_referrer=aHR0cHM6Ly93d3cuZ29vZ2xlLmNvbS8&amp;guce_referrer_sig=AQAAABXf9EcgjGa8FjxRYTSF_zV8XpHvbanq7PmmMxTj7GiQFVWoMrtgz97r0IZn3GIXFJ3O0YVd7DR57tzhwyCNnakfdfuz9uRk_1jfy_Pl5p3hy4_u5pRGXGb720KFiBEWDa7_vJis5_YgVxPpXyRKpWuTNqlMZO02HPQepHMVCAQ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mp.com/business/companies/article/3122026/singapores-electric-car-charging-providers-put-expansion-pla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lectrek.co/2019/05/20/chevron-ev-charging-gas-stations/" TargetMode="External"/><Relationship Id="rId23" Type="http://schemas.openxmlformats.org/officeDocument/2006/relationships/hyperlink" Target="https://cntechpost.com/2020/08/20/nio-launches-baas-battery-rental-service/" TargetMode="External"/><Relationship Id="rId10" Type="http://schemas.openxmlformats.org/officeDocument/2006/relationships/hyperlink" Target="https://www.eco-business.com/news/5-trends-this-decade-that-will-shape-singapores-switch-to-electric-mobility/" TargetMode="External"/><Relationship Id="rId19" Type="http://schemas.openxmlformats.org/officeDocument/2006/relationships/hyperlink" Target="https://about.bnef.com/blog/shell-acquisition-shows-ev-charging-market-consolidation/" TargetMode="External"/><Relationship Id="rId4" Type="http://schemas.openxmlformats.org/officeDocument/2006/relationships/settings" Target="settings.xml"/><Relationship Id="rId9" Type="http://schemas.openxmlformats.org/officeDocument/2006/relationships/hyperlink" Target="https://www.ema.gov.sg/Electric_Vehicle_Charging_Systems.aspx" TargetMode="External"/><Relationship Id="rId14" Type="http://schemas.openxmlformats.org/officeDocument/2006/relationships/hyperlink" Target="https://insideevs.com/news/448165/nio-completed-1-millionth-battery-swap/" TargetMode="External"/><Relationship Id="rId22" Type="http://schemas.openxmlformats.org/officeDocument/2006/relationships/hyperlink" Target="https://www.enterprisesg.gov.sg/media-centre/news/2020/december/training-facility-set-up-for-technicians-to-learn-how-to-service-electric-hybrid-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22FAC6E-FD1E-477F-A70A-9DFD80C1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jessicavania.gospel@outlook.com</dc:creator>
  <cp:keywords/>
  <dc:description/>
  <cp:lastModifiedBy>Yehuda Njoto</cp:lastModifiedBy>
  <cp:revision>43</cp:revision>
  <dcterms:created xsi:type="dcterms:W3CDTF">2021-03-24T09:50:00Z</dcterms:created>
  <dcterms:modified xsi:type="dcterms:W3CDTF">2021-03-26T10:27:00Z</dcterms:modified>
</cp:coreProperties>
</file>