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Images - Cooking Sections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01.tif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CLIMAVORE: On Tidal Zones,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2017-ongoing. Installation view, Isle of Skye, Scotland.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02.tif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CLIMAVORE: On Tidal Zones,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2017-ongoing. Installation view, Isle of Skye, Scotland. Courtesy: Atlas Arts. Photo: Ruth Clark.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03.tif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CLIMAVORE: On Tidal Zones,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2017-ongoing. Installation view, Isle of Skye, Scotland. Courtesy: Atlas Arts. Photo: Ruth Clark.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04.tif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CLIMAVORE: On Tidal Zones,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2017-ongoing. Installation view, Isle of Skye, Scotland. Courtesy: the artists. Photo: Nicholas Middleton.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05.tif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CLIMAVORE: On Tidal Zones,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2017-ongoing. Installation view, Isle of Skye, Scotland. Courtesy: the artists. Photo: Colin Hattersley.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06.tif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CLIMAVORE: On Tidal Zones,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2017-ongoing. Installation view, Isle of Skye, Scotland. Courtesy: the artists. Photo: Nicholas Middleton.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07.tif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Devaluing Property Real Estate Agency,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2016. Installation view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Empire Remains Shop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London.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08.tif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Empire Remains Shop,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2016. Installation view, London. Courtesy: the artists. Photo: Tim Bowditch.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09.tif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Giardino dei Giusti,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10.tif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Giardino dei Giusti,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11.tif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Giardino dei Giusti,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12.tif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Giardino dei Giusti,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13.tif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14.tif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15.tif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16.tif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17.tif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18.tif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19.tif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Above Is What Is Below,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 Installation view at Bastione S.M. dello Spasimo, Manifesta12, Palermo. Courtesy: the artists. Photo: Cooking Sections.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20.tif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Offsetted,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Installation view at Arthur Ross Architecture Gallery, Columbia University New York. Courtesy: GSAPP. Photo: James Ewing.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21.tif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Offsetted,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Installation view at Arthur Ross Architecture Gallery, Columbia University New York. Courtesy: GSAPP. Photo: James Ewing.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22.tif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Offsetted,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Installation view at Arthur Ross Architecture Gallery, Columbia University New York. Courtesy: GSAPP. Photo: James Ewing.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23.tif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Offsetted,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Installation view at Arthur Ross Architecture Gallery, Columbia University New York. Courtesy: GSAPP. Photo: James Ewing.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24.gif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Mussel Beach,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CURRENT: LA Public Art Triennial. Photo: Cooking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25.jpg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Mussel Beach,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CURRENT: LA Public Art Triennial. Installation view. Photo: Cooking Sections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26.jpg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Mussel Beach,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2019. CURRENT: LA Public Art Triennial. Installation detail. Photo: Cooking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27.jpg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Salmon: A Red Herring. Image: Office Ben Ganz and Luke Libera Moore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28.tif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2018. Courtesy: the artists. Photo: Lourdes Cabrera.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29.tif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Cooking Sections, 2017. Courtesy: Surface. Photo: Paul Plews.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32.tif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Mussel Beach,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2019. CURRENT: LA Public Art Triennial. Installation detail. Photo: Cooking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33.tif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Mussel Beach,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2019. CURRENT: LA Public Art Triennial. Installation detail. Photo: Cooking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34.tif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Salmon: A Red Herring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2020. Tate Britain, Art Now. Installation view. Photo: Tate. 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Requires image permission from Tate press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35.tif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Salmon: A Red Herring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2020. Tate Britain, Art Now. Installation view. Photo: Tate. 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Requires image permission from Tate press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36.tif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Salmon: A Red Herring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2020. Tate Britain, Art Now. Installation view. Photo: Tate. 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Requires image permission from Tate press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37.tif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Exhausted,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2021. SALT Beyoğlu. Installation detail. Photo: Mustafa Hazneci / SALT.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File: 38.tif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Cooking Sections,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 Lasting Pond,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2021. SALT Beyoğlu. Installation detail. Photo: Mustafa Hazneci / SALT.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276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chGxkMQlUgP+vxxUfPv4JyNslQ==">AMUW2mUBUMKg9GGQziELUt6gMaTB62aMAcDVsj/wKSPumVLrExC2MIdY4Kr8vC7mJjfjdKj/M8fIFFTeo35wsgs3p6cf7Oh9ZJ7mxsBY3wpKryxbOfSqTJE=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