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40"/>
        </w:rPr>
        <w:t>SEMINARIO INGENIERÍA DE DATOS E IA</w:t>
      </w:r>
    </w:p>
    <w:p>
      <w:pPr>
        <w:jc w:val="center"/>
      </w:pPr>
      <w:r>
        <w:rPr>
          <w:color w:val="2E75B6"/>
          <w:sz w:val="28"/>
        </w:rPr>
        <w:t>Universidad Autónoma de Occidente — UAO</w:t>
      </w:r>
    </w:p>
    <w:p/>
    <w:p/>
    <w:p>
      <w:pPr>
        <w:jc w:val="center"/>
      </w:pPr>
      <w:r>
        <w:rPr>
          <w:b/>
          <w:color w:val="1F4E79"/>
          <w:sz w:val="36"/>
        </w:rPr>
        <w:t>HITO 3: Metodología de Evaluación Causal</w:t>
        <w:br/>
        <w:t>y Primeros Resultados con Incertidumbre</w:t>
      </w:r>
    </w:p>
    <w:p/>
    <w:p/>
    <w:p>
      <w:pPr>
        <w:jc w:val="center"/>
      </w:pPr>
      <w:r>
        <w:rPr>
          <w:i/>
          <w:color w:val="404040"/>
          <w:sz w:val="26"/>
        </w:rPr>
        <w:t>Evaluación de Políticas de Acceso a Educación Superior</w:t>
        <w:br/>
        <w:t>Gobierno Nacional Colombia 2022–2026 (Gobierno Petro)</w:t>
      </w:r>
    </w:p>
    <w:p/>
    <w:p/>
    <w:p/>
    <w:p>
      <w:pPr>
        <w:jc w:val="center"/>
      </w:pPr>
      <w:r>
        <w:rPr>
          <w:b/>
          <w:sz w:val="24"/>
        </w:rPr>
        <w:t>Equipo de trabajo:</w:t>
      </w:r>
    </w:p>
    <w:p>
      <w:pPr>
        <w:jc w:val="center"/>
      </w:pPr>
      <w:r>
        <w:rPr>
          <w:sz w:val="22"/>
        </w:rPr>
        <w:t>Juan Jacobo Delgado</w:t>
      </w:r>
    </w:p>
    <w:p>
      <w:pPr>
        <w:jc w:val="center"/>
      </w:pPr>
      <w:r>
        <w:rPr>
          <w:sz w:val="22"/>
        </w:rPr>
        <w:t>Gabriel Martinez</w:t>
      </w:r>
    </w:p>
    <w:p>
      <w:pPr>
        <w:jc w:val="center"/>
      </w:pPr>
      <w:r>
        <w:rPr>
          <w:sz w:val="22"/>
        </w:rPr>
        <w:t>Nicolas Cuaran</w:t>
      </w:r>
    </w:p>
    <w:p>
      <w:pPr>
        <w:jc w:val="center"/>
      </w:pPr>
      <w:r>
        <w:rPr>
          <w:sz w:val="22"/>
        </w:rPr>
        <w:t>Juan Jose Orozco</w:t>
      </w:r>
    </w:p>
    <w:p>
      <w:pPr>
        <w:jc w:val="center"/>
      </w:pPr>
      <w:r>
        <w:rPr>
          <w:sz w:val="22"/>
        </w:rPr>
        <w:t>Sebastian Belalcazar</w:t>
      </w:r>
    </w:p>
    <w:p/>
    <w:p/>
    <w:p>
      <w:pPr>
        <w:jc w:val="center"/>
      </w:pPr>
      <w:r>
        <w:rPr>
          <w:color w:val="606060"/>
          <w:sz w:val="22"/>
        </w:rPr>
        <w:t>Bogotá D.C., April 2026</w:t>
      </w:r>
    </w:p>
    <w:p>
      <w:r>
        <w:br w:type="page"/>
      </w:r>
    </w:p>
    <w:p>
      <w:pPr>
        <w:pStyle w:val="Heading1"/>
      </w:pPr>
      <w:r>
        <w:rPr>
          <w:color w:val="1F4E79"/>
        </w:rPr>
        <w:t>Resumen Ejecutivo</w:t>
      </w:r>
    </w:p>
    <w:p>
      <w:r>
        <w:t>El presente informe documenta el desarrollo del Hito 3 del Seminario de Ingeniería de Datos e IA de la Universidad Autónoma de Occidente. Este hito corresponde a la fase de metodología de evaluación causal y primeros resultados con análisis de incertidumbre, en el marco del proyecto de evaluación de las políticas educativas del Gobierno Petro (2022–2026).</w:t>
      </w:r>
    </w:p>
    <w:p>
      <w:r>
        <w:t>El trabajo consolidado en este hito abarca:</w:t>
      </w:r>
    </w:p>
    <w:p>
      <w:pPr>
        <w:pStyle w:val="ListBullet"/>
        <w:ind w:left="360"/>
      </w:pPr>
      <w:r>
        <w:t>Pipeline ETL completo (Hito 2): descarga de datos SNIES, ICFES y PND desde Google Drive, carga en PostgreSQL con esquema estrella (raw → unified → facts), con 11 pasos secuenciales, calidad de datos y exportación automática.</w:t>
      </w:r>
    </w:p>
    <w:p>
      <w:pPr>
        <w:pStyle w:val="ListBullet"/>
        <w:ind w:left="360"/>
      </w:pPr>
      <w:r>
        <w:t>Metodología de evaluación causal (Criterio D): implementación de Series de Tiempo Interrumpidas (ITS) y Diferencias en Diferencias (DiD) para estimar el efecto diferencial de la política en IES Oficiales vs. Privadas.</w:t>
      </w:r>
    </w:p>
    <w:p>
      <w:pPr>
        <w:pStyle w:val="ListBullet"/>
        <w:ind w:left="360"/>
      </w:pPr>
      <w:r>
        <w:t>Validación e incertidumbre (Criterio F): bootstrap por bloques (N=1,000 remuestras), pruebas placebo temporales y sectoriales, análisis de sensibilidad al punto de quiebre y a la composición de la muestra.</w:t>
      </w:r>
    </w:p>
    <w:p>
      <w:pPr>
        <w:pStyle w:val="ListBullet"/>
        <w:ind w:left="360"/>
      </w:pPr>
      <w:r>
        <w:t>Dashboard Streamlit interactivo con 5 pestañas: Tendencias, ITS, DiD, Bootstrap y Resumen ejecutivo.</w:t>
      </w:r>
    </w:p>
    <w:p>
      <w:pPr>
        <w:pStyle w:val="ListBullet"/>
        <w:ind w:left="360"/>
      </w:pPr>
      <w:r>
        <w:t>Notebook Jupyter documentado con ejecución paso a paso del análisis.</w:t>
      </w:r>
    </w:p>
    <w:p>
      <w:pPr>
        <w:pStyle w:val="ListBullet"/>
        <w:ind w:left="360"/>
      </w:pPr>
      <w:r>
        <w:t>Este informe técnico como entregable documentado del hito.</w:t>
      </w:r>
    </w:p>
    <w:p>
      <w:r>
        <w:t>Los resultados se presentan bajo principios de neutralidad técnica: los estimadores son medidas de asociación (contribución), no de causalidad pura. Ningún hallazgo se interpreta como validación ni invalidación de una posición política.</w:t>
      </w:r>
    </w:p>
    <w:p>
      <w:r>
        <w:br w:type="page"/>
      </w:r>
    </w:p>
    <w:p>
      <w:pPr>
        <w:pStyle w:val="Heading1"/>
      </w:pPr>
      <w:r>
        <w:rPr>
          <w:color w:val="1F4E79"/>
        </w:rPr>
        <w:t>1. Introducción y Contexto</w:t>
      </w:r>
    </w:p>
    <w:p>
      <w:pPr>
        <w:pStyle w:val="Heading2"/>
      </w:pPr>
      <w:r>
        <w:rPr>
          <w:color w:val="2E75B6"/>
        </w:rPr>
        <w:t>1.1 Pregunta de evaluación central</w:t>
      </w:r>
    </w:p>
    <w:p>
      <w:r>
        <w:t>El proyecto busca responder la siguiente pregunta de política pública:</w:t>
      </w:r>
    </w:p>
    <w:p>
      <w:pPr>
        <w:ind w:left="576" w:right="576"/>
      </w:pPr>
      <w:r>
        <w:rPr>
          <w:i/>
          <w:color w:val="202060"/>
        </w:rPr>
        <w:t>¿En qué medida las políticas de acceso a educación superior del Gobierno Petro (2022–2026) —en particular la gratuidad y los programas de matrícula— modificaron la matrícula y la primera matrícula en Instituciones de Educación Superior (IES) públicas, respecto a la tendencia previa y al comportamiento de las IES privadas como grupo de control?</w:t>
      </w:r>
    </w:p>
    <w:p>
      <w:r>
        <w:t>Esta pregunta operacionaliza las preguntas P1 y P6 del Hito 1 sobre acceso a educación superior, y se alinea con el indicador SINERGIA ID 91 ('Estudiantes nuevos en Educación Superior Pública') del Plan Nacional de Desarrollo 2022–2026.</w:t>
      </w:r>
    </w:p>
    <w:p>
      <w:pPr>
        <w:pStyle w:val="Heading2"/>
      </w:pPr>
      <w:r>
        <w:rPr>
          <w:color w:val="2E75B6"/>
        </w:rPr>
        <w:t>1.2 Marco de identificación causal</w:t>
      </w:r>
    </w:p>
    <w:p>
      <w:r>
        <w:t>La política educativa del Gobierno Petro opera a nivel nacional sin variación aleatoria en la asignación de tratamiento. Esto implica que:</w:t>
      </w:r>
    </w:p>
    <w:p>
      <w:pPr>
        <w:pStyle w:val="ListBullet"/>
      </w:pPr>
      <w:r>
        <w:t>No existe un grupo de control 'puro' en educación superior pública (toda IES oficial se ve afectada).</w:t>
      </w:r>
    </w:p>
    <w:p>
      <w:pPr>
        <w:pStyle w:val="ListBullet"/>
      </w:pPr>
      <w:r>
        <w:t>La atribución completa es inviable sin un experimento natural o discontinuidad geográfica clara.</w:t>
      </w:r>
    </w:p>
    <w:p>
      <w:pPr>
        <w:pStyle w:val="ListBullet"/>
      </w:pPr>
      <w:r>
        <w:t>Se aplica el criterio de contribución (no atribución): estimar en qué dirección y magnitud la política está correlacionada con cambios observados, controlando tendencias preexistentes y covariables de contexto.</w:t>
      </w:r>
    </w:p>
    <w:p>
      <w:pPr>
        <w:pStyle w:val="Heading2"/>
      </w:pPr>
      <w:r>
        <w:rPr>
          <w:color w:val="2E75B6"/>
        </w:rPr>
        <w:t>1.3 Estrategia de identificación adoptada</w:t>
      </w:r>
    </w:p>
    <w:p>
      <w:r>
        <w:t>Se combinan dos enfoques complementarios para triangulación: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rPr>
              <w:t>Método</w:t>
            </w:r>
          </w:p>
        </w:tc>
        <w:tc>
          <w:tcPr>
            <w:tcW w:type="dxa" w:w="2880"/>
            <w:shd w:val="clear" w:color="auto" w:fill="2E75B6"/>
          </w:tcPr>
          <w:p>
            <w:r>
              <w:rPr>
                <w:b/>
                <w:color w:val="FFFFFF"/>
              </w:rPr>
              <w:t>Pregunta que responde</w:t>
            </w:r>
          </w:p>
        </w:tc>
        <w:tc>
          <w:tcPr>
            <w:tcW w:type="dxa" w:w="2880"/>
            <w:shd w:val="clear" w:color="auto" w:fill="2E75B6"/>
          </w:tcPr>
          <w:p>
            <w:r>
              <w:rPr>
                <w:b/>
                <w:color w:val="FFFFFF"/>
              </w:rPr>
              <w:t>Supuesto clave</w:t>
            </w:r>
          </w:p>
        </w:tc>
      </w:tr>
      <w:tr>
        <w:tc>
          <w:tcPr>
            <w:tcW w:type="dxa" w:w="2880"/>
          </w:tcPr>
          <w:p>
            <w:r>
              <w:t>ITS (Series de Tiempo Interrumpidas)</w:t>
            </w:r>
          </w:p>
        </w:tc>
        <w:tc>
          <w:tcPr>
            <w:tcW w:type="dxa" w:w="2880"/>
          </w:tcPr>
          <w:p>
            <w:r>
              <w:t>¿Cambió el nivel o la tendencia de matrícula en IES públicas al inicio del gobierno?</w:t>
            </w:r>
          </w:p>
        </w:tc>
        <w:tc>
          <w:tcPr>
            <w:tcW w:type="dxa" w:w="2880"/>
          </w:tcPr>
          <w:p>
            <w:r>
              <w:t>La tendencia pre-2022 habría continuado sin la política</w:t>
            </w:r>
          </w:p>
        </w:tc>
      </w:tr>
      <w:tr>
        <w:tc>
          <w:tcPr>
            <w:tcW w:type="dxa" w:w="2880"/>
          </w:tcPr>
          <w:p>
            <w:r>
              <w:t>DiD (Diferencias en Diferencias)</w:t>
            </w:r>
          </w:p>
        </w:tc>
        <w:tc>
          <w:tcPr>
            <w:tcW w:type="dxa" w:w="2880"/>
          </w:tcPr>
          <w:p>
            <w:r>
              <w:t>¿Cambió la matrícula en IES públicas más que en privadas tras 2022?</w:t>
            </w:r>
          </w:p>
        </w:tc>
        <w:tc>
          <w:tcPr>
            <w:tcW w:type="dxa" w:w="2880"/>
          </w:tcPr>
          <w:p>
            <w:r>
              <w:t>Tendencias paralelas pre-tratamiento entre sectores</w:t>
            </w:r>
          </w:p>
        </w:tc>
      </w:tr>
    </w:tbl>
    <w:p/>
    <w:p>
      <w:r>
        <w:br w:type="page"/>
      </w:r>
    </w:p>
    <w:p>
      <w:pPr>
        <w:pStyle w:val="Heading1"/>
      </w:pPr>
      <w:r>
        <w:rPr>
          <w:color w:val="1F4E79"/>
        </w:rPr>
        <w:t>2. Fuentes de Datos</w:t>
      </w:r>
    </w:p>
    <w:p>
      <w:r>
        <w:t>El proyecto utiliza tres fuentes de datos oficiales descargadas desde una carpeta compartida de Google Drive: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5B6"/>
          </w:tcPr>
          <w:p>
            <w:r>
              <w:rPr>
                <w:b/>
                <w:color w:val="FFFFFF"/>
              </w:rPr>
              <w:t>Fuente</w:t>
            </w:r>
          </w:p>
        </w:tc>
        <w:tc>
          <w:tcPr>
            <w:tcW w:type="dxa" w:w="2160"/>
            <w:shd w:val="clear" w:color="auto" w:fill="2E75B6"/>
          </w:tcPr>
          <w:p>
            <w:r>
              <w:rPr>
                <w:b/>
                <w:color w:val="FFFFFF"/>
              </w:rPr>
              <w:t>Categorías</w:t>
            </w:r>
          </w:p>
        </w:tc>
        <w:tc>
          <w:tcPr>
            <w:tcW w:type="dxa" w:w="2160"/>
            <w:shd w:val="clear" w:color="auto" w:fill="2E75B6"/>
          </w:tcPr>
          <w:p>
            <w:r>
              <w:rPr>
                <w:b/>
                <w:color w:val="FFFFFF"/>
              </w:rPr>
              <w:t>Periodo</w:t>
            </w:r>
          </w:p>
        </w:tc>
        <w:tc>
          <w:tcPr>
            <w:tcW w:type="dxa" w:w="2160"/>
            <w:shd w:val="clear" w:color="auto" w:fill="2E75B6"/>
          </w:tcPr>
          <w:p>
            <w:r>
              <w:rPr>
                <w:b/>
                <w:color w:val="FFFFFF"/>
              </w:rPr>
              <w:t>Formato</w:t>
            </w:r>
          </w:p>
        </w:tc>
      </w:tr>
      <w:tr>
        <w:tc>
          <w:tcPr>
            <w:tcW w:type="dxa" w:w="2160"/>
          </w:tcPr>
          <w:p>
            <w:r>
              <w:t>SNIES (Sistema Nacional de Información de Educación Superior)</w:t>
            </w:r>
          </w:p>
        </w:tc>
        <w:tc>
          <w:tcPr>
            <w:tcW w:type="dxa" w:w="2160"/>
          </w:tcPr>
          <w:p>
            <w:r>
              <w:t>Administrativos, admitidos, docentes, graduados, inscritos, matriculados, matriculados_primer_curso</w:t>
            </w:r>
          </w:p>
        </w:tc>
        <w:tc>
          <w:tcPr>
            <w:tcW w:type="dxa" w:w="2160"/>
          </w:tcPr>
          <w:p>
            <w:r>
              <w:t>2018–2024</w:t>
            </w:r>
          </w:p>
        </w:tc>
        <w:tc>
          <w:tcPr>
            <w:tcW w:type="dxa" w:w="2160"/>
          </w:tcPr>
          <w:p>
            <w:r>
              <w:t>Excel (.xlsx)</w:t>
            </w:r>
          </w:p>
        </w:tc>
      </w:tr>
      <w:tr>
        <w:tc>
          <w:tcPr>
            <w:tcW w:type="dxa" w:w="2160"/>
          </w:tcPr>
          <w:p>
            <w:r>
              <w:t>ICFES — Saber 3-5-9</w:t>
            </w:r>
          </w:p>
        </w:tc>
        <w:tc>
          <w:tcPr>
            <w:tcW w:type="dxa" w:w="2160"/>
          </w:tcPr>
          <w:p>
            <w:r>
              <w:t>Scores de pruebas estandarizadas</w:t>
            </w:r>
          </w:p>
        </w:tc>
        <w:tc>
          <w:tcPr>
            <w:tcW w:type="dxa" w:w="2160"/>
          </w:tcPr>
          <w:p>
            <w:r>
              <w:t>2018–2024</w:t>
            </w:r>
          </w:p>
        </w:tc>
        <w:tc>
          <w:tcPr>
            <w:tcW w:type="dxa" w:w="2160"/>
          </w:tcPr>
          <w:p>
            <w:r>
              <w:t>CSV (.csv)</w:t>
            </w:r>
          </w:p>
        </w:tc>
      </w:tr>
      <w:tr>
        <w:tc>
          <w:tcPr>
            <w:tcW w:type="dxa" w:w="2160"/>
          </w:tcPr>
          <w:p>
            <w:r>
              <w:t>PND (Plan Nacional de Desarrollo)</w:t>
            </w:r>
          </w:p>
        </w:tc>
        <w:tc>
          <w:tcPr>
            <w:tcW w:type="dxa" w:w="2160"/>
          </w:tcPr>
          <w:p>
            <w:r>
              <w:t>Seguimiento de indicadores SINERGIA</w:t>
            </w:r>
          </w:p>
        </w:tc>
        <w:tc>
          <w:tcPr>
            <w:tcW w:type="dxa" w:w="2160"/>
          </w:tcPr>
          <w:p>
            <w:r>
              <w:t>2018–2024</w:t>
            </w:r>
          </w:p>
        </w:tc>
        <w:tc>
          <w:tcPr>
            <w:tcW w:type="dxa" w:w="2160"/>
          </w:tcPr>
          <w:p>
            <w:r>
              <w:t>CSV (.csv)</w:t>
            </w:r>
          </w:p>
        </w:tc>
      </w:tr>
    </w:tbl>
    <w:p/>
    <w:p>
      <w:r>
        <w:t>Los datos SNIES representan 7 categorías × 7 años = 49 archivos Excel. El pipeline descarga únicamente archivos con tamaño inferior a 15 MB para garantizar la viabilidad computacional. El indicador SINERGIA ID 91 (estudiantes nuevos en educación superior pública) es la variable de resultado principal alineada con la política evaluada.</w:t>
      </w:r>
    </w:p>
    <w:p>
      <w:r>
        <w:br w:type="page"/>
      </w:r>
    </w:p>
    <w:p>
      <w:pPr>
        <w:pStyle w:val="Heading1"/>
      </w:pPr>
      <w:r>
        <w:rPr>
          <w:color w:val="1F4E79"/>
        </w:rPr>
        <w:t>3. Pipeline ETL (Hito 2)</w:t>
      </w:r>
    </w:p>
    <w:p>
      <w:r>
        <w:t>El pipeline ETL transforma los datos brutos en un esquema estrella PostgreSQL listo para el análisis estadístico. Está implementado como un orquestador de 11 pasos secuenciales con reporte de estado y manejo de errores.</w:t>
      </w:r>
    </w:p>
    <w:p>
      <w:pPr>
        <w:pStyle w:val="Heading2"/>
      </w:pPr>
      <w:r>
        <w:rPr>
          <w:color w:val="2E75B6"/>
        </w:rPr>
        <w:t>3.1 Pasos del pipeline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5B6"/>
          </w:tcPr>
          <w:p>
            <w:r>
              <w:rPr>
                <w:b/>
                <w:color w:val="FFFFFF"/>
              </w:rPr>
              <w:t>Paso</w:t>
            </w:r>
          </w:p>
        </w:tc>
        <w:tc>
          <w:tcPr>
            <w:tcW w:type="dxa" w:w="2160"/>
            <w:shd w:val="clear" w:color="auto" w:fill="2E75B6"/>
          </w:tcPr>
          <w:p>
            <w:r>
              <w:rPr>
                <w:b/>
                <w:color w:val="FFFFFF"/>
              </w:rPr>
              <w:t>Nombre</w:t>
            </w:r>
          </w:p>
        </w:tc>
        <w:tc>
          <w:tcPr>
            <w:tcW w:type="dxa" w:w="2160"/>
            <w:shd w:val="clear" w:color="auto" w:fill="2E75B6"/>
          </w:tcPr>
          <w:p>
            <w:r>
              <w:rPr>
                <w:b/>
                <w:color w:val="FFFFFF"/>
              </w:rPr>
              <w:t>Módulo</w:t>
            </w:r>
          </w:p>
        </w:tc>
        <w:tc>
          <w:tcPr>
            <w:tcW w:type="dxa" w:w="2160"/>
            <w:shd w:val="clear" w:color="auto" w:fill="2E75B6"/>
          </w:tcPr>
          <w:p>
            <w:r>
              <w:rPr>
                <w:b/>
                <w:color w:val="FFFFFF"/>
              </w:rPr>
              <w:t>Descripción</w:t>
            </w:r>
          </w:p>
        </w:tc>
      </w:tr>
      <w:tr>
        <w:tc>
          <w:tcPr>
            <w:tcW w:type="dxa" w:w="2160"/>
          </w:tcPr>
          <w:p>
            <w:r>
              <w:t>1</w:t>
            </w:r>
          </w:p>
        </w:tc>
        <w:tc>
          <w:tcPr>
            <w:tcW w:type="dxa" w:w="2160"/>
          </w:tcPr>
          <w:p>
            <w:r>
              <w:t>Ingesta de datos</w:t>
            </w:r>
          </w:p>
        </w:tc>
        <w:tc>
          <w:tcPr>
            <w:tcW w:type="dxa" w:w="2160"/>
          </w:tcPr>
          <w:p>
            <w:r>
              <w:t>etl/ingest.py</w:t>
            </w:r>
          </w:p>
        </w:tc>
        <w:tc>
          <w:tcPr>
            <w:tcW w:type="dxa" w:w="2160"/>
          </w:tcPr>
          <w:p>
            <w:r>
              <w:t>Descarga archivos desde Google Drive con autenticación OAuth2, retry exponencial y control de hashes MD5 para evitar re-importaciones.</w:t>
            </w:r>
          </w:p>
        </w:tc>
      </w:tr>
      <w:tr>
        <w:tc>
          <w:tcPr>
            <w:tcW w:type="dxa" w:w="2160"/>
          </w:tcPr>
          <w:p>
            <w:r>
              <w:t>2</w:t>
            </w:r>
          </w:p>
        </w:tc>
        <w:tc>
          <w:tcPr>
            <w:tcW w:type="dxa" w:w="2160"/>
          </w:tcPr>
          <w:p>
            <w:r>
              <w:t>Carga a PostgreSQL (schema raw)</w:t>
            </w:r>
          </w:p>
        </w:tc>
        <w:tc>
          <w:tcPr>
            <w:tcW w:type="dxa" w:w="2160"/>
          </w:tcPr>
          <w:p>
            <w:r>
              <w:t>scripts/create_db.py</w:t>
            </w:r>
          </w:p>
        </w:tc>
        <w:tc>
          <w:tcPr>
            <w:tcW w:type="dxa" w:w="2160"/>
          </w:tcPr>
          <w:p>
            <w:r>
              <w:t>Detecta la fila de encabezado en cada Excel, normaliza nombres de columnas y usa COPY FROM STDIN para inserción masiva. Registra cada archivo importado en una tabla de log.</w:t>
            </w:r>
          </w:p>
        </w:tc>
      </w:tr>
      <w:tr>
        <w:tc>
          <w:tcPr>
            <w:tcW w:type="dxa" w:w="2160"/>
          </w:tcPr>
          <w:p>
            <w:r>
              <w:t>3</w:t>
            </w:r>
          </w:p>
        </w:tc>
        <w:tc>
          <w:tcPr>
            <w:tcW w:type="dxa" w:w="2160"/>
          </w:tcPr>
          <w:p>
            <w:r>
              <w:t>Transformación y limpieza</w:t>
            </w:r>
          </w:p>
        </w:tc>
        <w:tc>
          <w:tcPr>
            <w:tcW w:type="dxa" w:w="2160"/>
          </w:tcPr>
          <w:p>
            <w:r>
              <w:t>etl/transform.py</w:t>
            </w:r>
          </w:p>
        </w:tc>
        <w:tc>
          <w:tcPr>
            <w:tcW w:type="dxa" w:w="2160"/>
          </w:tcPr>
          <w:p>
            <w:r>
              <w:t>Renombra columnas (snake_case), elimina columnas sin datos y registros vacíos, y limpia texto via pg_normalize_text(). Operaciones server-side en SQL.</w:t>
            </w:r>
          </w:p>
        </w:tc>
      </w:tr>
      <w:tr>
        <w:tc>
          <w:tcPr>
            <w:tcW w:type="dxa" w:w="2160"/>
          </w:tcPr>
          <w:p>
            <w:r>
              <w:t>4</w:t>
            </w:r>
          </w:p>
        </w:tc>
        <w:tc>
          <w:tcPr>
            <w:tcW w:type="dxa" w:w="2160"/>
          </w:tcPr>
          <w:p>
            <w:r>
              <w:t>Normalización de datos</w:t>
            </w:r>
          </w:p>
        </w:tc>
        <w:tc>
          <w:tcPr>
            <w:tcW w:type="dxa" w:w="2160"/>
          </w:tcPr>
          <w:p>
            <w:r>
              <w:t>scripts/normalize_data.py</w:t>
            </w:r>
          </w:p>
        </w:tc>
        <w:tc>
          <w:tcPr>
            <w:tcW w:type="dxa" w:w="2160"/>
          </w:tcPr>
          <w:p>
            <w:r>
              <w:t>Aplica pg_normalize_text() a todas las columnas TEXT: elimina tildes, convierte a minúsculas, suprime espacios múltiples y strings vacíos.</w:t>
            </w:r>
          </w:p>
        </w:tc>
      </w:tr>
      <w:tr>
        <w:tc>
          <w:tcPr>
            <w:tcW w:type="dxa" w:w="2160"/>
          </w:tcPr>
          <w:p>
            <w:r>
              <w:t>5</w:t>
            </w:r>
          </w:p>
        </w:tc>
        <w:tc>
          <w:tcPr>
            <w:tcW w:type="dxa" w:w="2160"/>
          </w:tcPr>
          <w:p>
            <w:r>
              <w:t>Creación de índices (raw)</w:t>
            </w:r>
          </w:p>
        </w:tc>
        <w:tc>
          <w:tcPr>
            <w:tcW w:type="dxa" w:w="2160"/>
          </w:tcPr>
          <w:p>
            <w:r>
              <w:t>scripts/create_indexes.py</w:t>
            </w:r>
          </w:p>
        </w:tc>
        <w:tc>
          <w:tcPr>
            <w:tcW w:type="dxa" w:w="2160"/>
          </w:tcPr>
          <w:p>
            <w:r>
              <w:t>Crea índices en los campos clave del schema raw (codigo_ies, ano, semestre, sexo, área) para acelerar las operaciones de unificación y JOIN.</w:t>
            </w:r>
          </w:p>
        </w:tc>
      </w:tr>
      <w:tr>
        <w:tc>
          <w:tcPr>
            <w:tcW w:type="dxa" w:w="2160"/>
          </w:tcPr>
          <w:p>
            <w:r>
              <w:t>6</w:t>
            </w:r>
          </w:p>
        </w:tc>
        <w:tc>
          <w:tcPr>
            <w:tcW w:type="dxa" w:w="2160"/>
          </w:tcPr>
          <w:p>
            <w:r>
              <w:t>Unificación por año</w:t>
            </w:r>
          </w:p>
        </w:tc>
        <w:tc>
          <w:tcPr>
            <w:tcW w:type="dxa" w:w="2160"/>
          </w:tcPr>
          <w:p>
            <w:r>
              <w:t>scripts/unify_by_year.py</w:t>
            </w:r>
          </w:p>
        </w:tc>
        <w:tc>
          <w:tcPr>
            <w:tcW w:type="dxa" w:w="2160"/>
          </w:tcPr>
          <w:p>
            <w:r>
              <w:t>Consolida tablas por categoría (ej. matriculados_2018 ... matriculados_2024) en tablas unificadas en el schema unified con deduplicación.</w:t>
            </w:r>
          </w:p>
        </w:tc>
      </w:tr>
      <w:tr>
        <w:tc>
          <w:tcPr>
            <w:tcW w:type="dxa" w:w="2160"/>
          </w:tcPr>
          <w:p>
            <w:r>
              <w:t>7</w:t>
            </w:r>
          </w:p>
        </w:tc>
        <w:tc>
          <w:tcPr>
            <w:tcW w:type="dxa" w:w="2160"/>
          </w:tcPr>
          <w:p>
            <w:r>
              <w:t>Creación de dimensiones</w:t>
            </w:r>
          </w:p>
        </w:tc>
        <w:tc>
          <w:tcPr>
            <w:tcW w:type="dxa" w:w="2160"/>
          </w:tcPr>
          <w:p>
            <w:r>
              <w:t>scripts/create_dimensions.py</w:t>
            </w:r>
          </w:p>
        </w:tc>
        <w:tc>
          <w:tcPr>
            <w:tcW w:type="dxa" w:w="2160"/>
          </w:tcPr>
          <w:p>
            <w:r>
              <w:t>Crea 7 tablas de dimensiones: dim_institucion, dim_geografia, dim_programa, dim_tiempo, dim_sexo, dim_nivel_formacion_docente, dim_dedicacion_docente.</w:t>
            </w:r>
          </w:p>
        </w:tc>
      </w:tr>
      <w:tr>
        <w:tc>
          <w:tcPr>
            <w:tcW w:type="dxa" w:w="2160"/>
          </w:tcPr>
          <w:p>
            <w:r>
              <w:t>8</w:t>
            </w:r>
          </w:p>
        </w:tc>
        <w:tc>
          <w:tcPr>
            <w:tcW w:type="dxa" w:w="2160"/>
          </w:tcPr>
          <w:p>
            <w:r>
              <w:t>Creación de tablas de hechos</w:t>
            </w:r>
          </w:p>
        </w:tc>
        <w:tc>
          <w:tcPr>
            <w:tcW w:type="dxa" w:w="2160"/>
          </w:tcPr>
          <w:p>
            <w:r>
              <w:t>scripts/create_facts.py</w:t>
            </w:r>
          </w:p>
        </w:tc>
        <w:tc>
          <w:tcPr>
            <w:tcW w:type="dxa" w:w="2160"/>
          </w:tcPr>
          <w:p>
            <w:r>
              <w:t>Crea 3 fact tables con claves foráneas: fact_estudiantes (inscritos, admitidos, matriculados, primer_curso, graduados), fact_docentes, fact_administrativos.</w:t>
            </w:r>
          </w:p>
        </w:tc>
      </w:tr>
      <w:tr>
        <w:tc>
          <w:tcPr>
            <w:tcW w:type="dxa" w:w="2160"/>
          </w:tcPr>
          <w:p>
            <w:r>
              <w:t>9</w:t>
            </w:r>
          </w:p>
        </w:tc>
        <w:tc>
          <w:tcPr>
            <w:tcW w:type="dxa" w:w="2160"/>
          </w:tcPr>
          <w:p>
            <w:r>
              <w:t>Verificación de calidad</w:t>
            </w:r>
          </w:p>
        </w:tc>
        <w:tc>
          <w:tcPr>
            <w:tcW w:type="dxa" w:w="2160"/>
          </w:tcPr>
          <w:p>
            <w:r>
              <w:t>etl/quality.py</w:t>
            </w:r>
          </w:p>
        </w:tc>
        <w:tc>
          <w:tcPr>
            <w:tcW w:type="dxa" w:w="2160"/>
          </w:tcPr>
          <w:p>
            <w:r>
              <w:t>Checks SQL via información_schema: tablas no vacías, duplicados, umbral de nulos (&gt;50%), columnas mínimas. Genera reporte JSON.</w:t>
            </w:r>
          </w:p>
        </w:tc>
      </w:tr>
      <w:tr>
        <w:tc>
          <w:tcPr>
            <w:tcW w:type="dxa" w:w="2160"/>
          </w:tcPr>
          <w:p>
            <w:r>
              <w:t>10</w:t>
            </w:r>
          </w:p>
        </w:tc>
        <w:tc>
          <w:tcPr>
            <w:tcW w:type="dxa" w:w="2160"/>
          </w:tcPr>
          <w:p>
            <w:r>
              <w:t>Diccionarios de datos</w:t>
            </w:r>
          </w:p>
        </w:tc>
        <w:tc>
          <w:tcPr>
            <w:tcW w:type="dxa" w:w="2160"/>
          </w:tcPr>
          <w:p>
            <w:r>
              <w:t>etl/dictionary.py</w:t>
            </w:r>
          </w:p>
        </w:tc>
        <w:tc>
          <w:tcPr>
            <w:tcW w:type="dxa" w:w="2160"/>
          </w:tcPr>
          <w:p>
            <w:r>
              <w:t>Perfila cada columna (count, nulos, min, max, mean, valores únicos) y genera diccionarios en JSON y Markdown.</w:t>
            </w:r>
          </w:p>
        </w:tc>
      </w:tr>
      <w:tr>
        <w:tc>
          <w:tcPr>
            <w:tcW w:type="dxa" w:w="2160"/>
          </w:tcPr>
          <w:p>
            <w:r>
              <w:t>11</w:t>
            </w:r>
          </w:p>
        </w:tc>
        <w:tc>
          <w:tcPr>
            <w:tcW w:type="dxa" w:w="2160"/>
          </w:tcPr>
          <w:p>
            <w:r>
              <w:t>Export + subida a Google Drive</w:t>
            </w:r>
          </w:p>
        </w:tc>
        <w:tc>
          <w:tcPr>
            <w:tcW w:type="dxa" w:w="2160"/>
          </w:tcPr>
          <w:p>
            <w:r>
              <w:t>etl/upload.py</w:t>
            </w:r>
          </w:p>
        </w:tc>
        <w:tc>
          <w:tcPr>
            <w:tcW w:type="dxa" w:w="2160"/>
          </w:tcPr>
          <w:p>
            <w:r>
              <w:t>Exporta los 3 schemas (raw, unified, facts) con pg_dump y sube los archivos .sql a la carpeta compartida de Google Drive.</w:t>
            </w:r>
          </w:p>
        </w:tc>
      </w:tr>
    </w:tbl>
    <w:p/>
    <w:p>
      <w:pPr>
        <w:pStyle w:val="Heading2"/>
      </w:pPr>
      <w:r>
        <w:rPr>
          <w:color w:val="2E75B6"/>
        </w:rPr>
        <w:t>3.2 Arquitectura del esquema estrella</w:t>
      </w:r>
    </w:p>
    <w:p>
      <w:r>
        <w:t>El modelo de datos final (schema facts) implementa un esquema estrella con 7 dimensiones y 3 tablas de hechos:</w:t>
      </w:r>
    </w:p>
    <w:p>
      <w:pPr>
        <w:pStyle w:val="Heading3"/>
      </w:pPr>
      <w:r>
        <w:t>Dimensiones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rPr>
              <w:t>Tabla</w:t>
            </w:r>
          </w:p>
        </w:tc>
        <w:tc>
          <w:tcPr>
            <w:tcW w:type="dxa" w:w="2880"/>
            <w:shd w:val="clear" w:color="auto" w:fill="2E75B6"/>
          </w:tcPr>
          <w:p>
            <w:r>
              <w:rPr>
                <w:b/>
                <w:color w:val="FFFFFF"/>
              </w:rPr>
              <w:t>Descripción</w:t>
            </w:r>
          </w:p>
        </w:tc>
        <w:tc>
          <w:tcPr>
            <w:tcW w:type="dxa" w:w="2880"/>
            <w:shd w:val="clear" w:color="auto" w:fill="2E75B6"/>
          </w:tcPr>
          <w:p>
            <w:r>
              <w:rPr>
                <w:b/>
                <w:color w:val="FFFFFF"/>
              </w:rPr>
              <w:t>Columnas principales</w:t>
            </w:r>
          </w:p>
        </w:tc>
      </w:tr>
      <w:tr>
        <w:tc>
          <w:tcPr>
            <w:tcW w:type="dxa" w:w="2880"/>
          </w:tcPr>
          <w:p>
            <w:r>
              <w:t>dim_institucion</w:t>
            </w:r>
          </w:p>
        </w:tc>
        <w:tc>
          <w:tcPr>
            <w:tcW w:type="dxa" w:w="2880"/>
          </w:tcPr>
          <w:p>
            <w:r>
              <w:t>Instituciones de educación superior</w:t>
            </w:r>
          </w:p>
        </w:tc>
        <w:tc>
          <w:tcPr>
            <w:tcW w:type="dxa" w:w="2880"/>
          </w:tcPr>
          <w:p>
            <w:r>
              <w:t>codigo_ies, nombre_ies, sector_ies (Oficial/Privada), caracter_ies, ...</w:t>
            </w:r>
          </w:p>
        </w:tc>
      </w:tr>
      <w:tr>
        <w:tc>
          <w:tcPr>
            <w:tcW w:type="dxa" w:w="2880"/>
          </w:tcPr>
          <w:p>
            <w:r>
              <w:t>dim_geografia</w:t>
            </w:r>
          </w:p>
        </w:tc>
        <w:tc>
          <w:tcPr>
            <w:tcW w:type="dxa" w:w="2880"/>
          </w:tcPr>
          <w:p>
            <w:r>
              <w:t>Ubicación geográfica</w:t>
            </w:r>
          </w:p>
        </w:tc>
        <w:tc>
          <w:tcPr>
            <w:tcW w:type="dxa" w:w="2880"/>
          </w:tcPr>
          <w:p>
            <w:r>
              <w:t>codigo_departamento, nombre_departamento, codigo_municipio, nombre_municipio</w:t>
            </w:r>
          </w:p>
        </w:tc>
      </w:tr>
      <w:tr>
        <w:tc>
          <w:tcPr>
            <w:tcW w:type="dxa" w:w="2880"/>
          </w:tcPr>
          <w:p>
            <w:r>
              <w:t>dim_programa</w:t>
            </w:r>
          </w:p>
        </w:tc>
        <w:tc>
          <w:tcPr>
            <w:tcW w:type="dxa" w:w="2880"/>
          </w:tcPr>
          <w:p>
            <w:r>
              <w:t>Programas académicos</w:t>
            </w:r>
          </w:p>
        </w:tc>
        <w:tc>
          <w:tcPr>
            <w:tcW w:type="dxa" w:w="2880"/>
          </w:tcPr>
          <w:p>
            <w:r>
              <w:t>codigo_snies_programa, nombre_programa, nivel_academico, nivel_formacion, area_conocimiento, ...</w:t>
            </w:r>
          </w:p>
        </w:tc>
      </w:tr>
      <w:tr>
        <w:tc>
          <w:tcPr>
            <w:tcW w:type="dxa" w:w="2880"/>
          </w:tcPr>
          <w:p>
            <w:r>
              <w:t>dim_tiempo</w:t>
            </w:r>
          </w:p>
        </w:tc>
        <w:tc>
          <w:tcPr>
            <w:tcW w:type="dxa" w:w="2880"/>
          </w:tcPr>
          <w:p>
            <w:r>
              <w:t>Periodos temporales</w:t>
            </w:r>
          </w:p>
        </w:tc>
        <w:tc>
          <w:tcPr>
            <w:tcW w:type="dxa" w:w="2880"/>
          </w:tcPr>
          <w:p>
            <w:r>
              <w:t>ano (2018–2024), semestre (1 o 2), ano_semestre</w:t>
            </w:r>
          </w:p>
        </w:tc>
      </w:tr>
      <w:tr>
        <w:tc>
          <w:tcPr>
            <w:tcW w:type="dxa" w:w="2880"/>
          </w:tcPr>
          <w:p>
            <w:r>
              <w:t>dim_sexo</w:t>
            </w:r>
          </w:p>
        </w:tc>
        <w:tc>
          <w:tcPr>
            <w:tcW w:type="dxa" w:w="2880"/>
          </w:tcPr>
          <w:p>
            <w:r>
              <w:t>Género del estudiante/docente</w:t>
            </w:r>
          </w:p>
        </w:tc>
        <w:tc>
          <w:tcPr>
            <w:tcW w:type="dxa" w:w="2880"/>
          </w:tcPr>
          <w:p>
            <w:r>
              <w:t>id_sexo, sexo (Masculino, Femenino, No binario, ...)</w:t>
            </w:r>
          </w:p>
        </w:tc>
      </w:tr>
      <w:tr>
        <w:tc>
          <w:tcPr>
            <w:tcW w:type="dxa" w:w="2880"/>
          </w:tcPr>
          <w:p>
            <w:r>
              <w:t>dim_nivel_formacion_docente</w:t>
            </w:r>
          </w:p>
        </w:tc>
        <w:tc>
          <w:tcPr>
            <w:tcW w:type="dxa" w:w="2880"/>
          </w:tcPr>
          <w:p>
            <w:r>
              <w:t>Nivel de formación del docente</w:t>
            </w:r>
          </w:p>
        </w:tc>
        <w:tc>
          <w:tcPr>
            <w:tcW w:type="dxa" w:w="2880"/>
          </w:tcPr>
          <w:p>
            <w:r>
              <w:t>id_nivel, nivel_formacion_docente (Doctorado, Maestria, ...)</w:t>
            </w:r>
          </w:p>
        </w:tc>
      </w:tr>
      <w:tr>
        <w:tc>
          <w:tcPr>
            <w:tcW w:type="dxa" w:w="2880"/>
          </w:tcPr>
          <w:p>
            <w:r>
              <w:t>dim_dedicacion_docente</w:t>
            </w:r>
          </w:p>
        </w:tc>
        <w:tc>
          <w:tcPr>
            <w:tcW w:type="dxa" w:w="2880"/>
          </w:tcPr>
          <w:p>
            <w:r>
              <w:t>Tipo de dedicación del docente</w:t>
            </w:r>
          </w:p>
        </w:tc>
        <w:tc>
          <w:tcPr>
            <w:tcW w:type="dxa" w:w="2880"/>
          </w:tcPr>
          <w:p>
            <w:r>
              <w:t>id_tiempo_dedicacion, tiempo_dedicacion, id_tipo_contrato, tipo_contrato</w:t>
            </w:r>
          </w:p>
        </w:tc>
      </w:tr>
    </w:tbl>
    <w:p/>
    <w:p>
      <w:pPr>
        <w:pStyle w:val="Heading3"/>
      </w:pPr>
      <w:r>
        <w:t>Tablas de hechos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rPr>
              <w:t>Tabla de hechos</w:t>
            </w:r>
          </w:p>
        </w:tc>
        <w:tc>
          <w:tcPr>
            <w:tcW w:type="dxa" w:w="2880"/>
            <w:shd w:val="clear" w:color="auto" w:fill="2E75B6"/>
          </w:tcPr>
          <w:p>
            <w:r>
              <w:rPr>
                <w:b/>
                <w:color w:val="FFFFFF"/>
              </w:rPr>
              <w:t>Descripción</w:t>
            </w:r>
          </w:p>
        </w:tc>
        <w:tc>
          <w:tcPr>
            <w:tcW w:type="dxa" w:w="2880"/>
            <w:shd w:val="clear" w:color="auto" w:fill="2E75B6"/>
          </w:tcPr>
          <w:p>
            <w:r>
              <w:rPr>
                <w:b/>
                <w:color w:val="FFFFFF"/>
              </w:rPr>
              <w:t>Columnas principales</w:t>
            </w:r>
          </w:p>
        </w:tc>
      </w:tr>
      <w:tr>
        <w:tc>
          <w:tcPr>
            <w:tcW w:type="dxa" w:w="2880"/>
          </w:tcPr>
          <w:p>
            <w:r>
              <w:t>fact_estudiantes</w:t>
            </w:r>
          </w:p>
        </w:tc>
        <w:tc>
          <w:tcPr>
            <w:tcW w:type="dxa" w:w="2880"/>
          </w:tcPr>
          <w:p>
            <w:r>
              <w:t>Inscritos, admitidos, matriculados, primer_curso y graduados</w:t>
            </w:r>
          </w:p>
        </w:tc>
        <w:tc>
          <w:tcPr>
            <w:tcW w:type="dxa" w:w="2880"/>
          </w:tcPr>
          <w:p>
            <w:r>
              <w:t>tipo_evento, institucion_id, programa_id, geografia_ies_id, geografia_programa_id, sexo_id, tiempo_id, cantidad</w:t>
            </w:r>
          </w:p>
        </w:tc>
      </w:tr>
      <w:tr>
        <w:tc>
          <w:tcPr>
            <w:tcW w:type="dxa" w:w="2880"/>
          </w:tcPr>
          <w:p>
            <w:r>
              <w:t>fact_docentes</w:t>
            </w:r>
          </w:p>
        </w:tc>
        <w:tc>
          <w:tcPr>
            <w:tcW w:type="dxa" w:w="2880"/>
          </w:tcPr>
          <w:p>
            <w:r>
              <w:t>Docentes por institución, dedicación y nivel de formación</w:t>
            </w:r>
          </w:p>
        </w:tc>
        <w:tc>
          <w:tcPr>
            <w:tcW w:type="dxa" w:w="2880"/>
          </w:tcPr>
          <w:p>
            <w:r>
              <w:t>institucion_id, geografia_ies_id, sexo_id, nivel_formacion_docente_id, dedicacion_docente_id, tiempo_id, cantidad_docentes</w:t>
            </w:r>
          </w:p>
        </w:tc>
      </w:tr>
      <w:tr>
        <w:tc>
          <w:tcPr>
            <w:tcW w:type="dxa" w:w="2880"/>
          </w:tcPr>
          <w:p>
            <w:r>
              <w:t>fact_administrativos</w:t>
            </w:r>
          </w:p>
        </w:tc>
        <w:tc>
          <w:tcPr>
            <w:tcW w:type="dxa" w:w="2880"/>
          </w:tcPr>
          <w:p>
            <w:r>
              <w:t>Personal administrativo por institución y periodo</w:t>
            </w:r>
          </w:p>
        </w:tc>
        <w:tc>
          <w:tcPr>
            <w:tcW w:type="dxa" w:w="2880"/>
          </w:tcPr>
          <w:p>
            <w:r>
              <w:t>institucion_id, geografia_ies_id, tiempo_id, auxiliar, tecnico, profesional, directivo, total</w:t>
            </w:r>
          </w:p>
        </w:tc>
      </w:tr>
    </w:tbl>
    <w:p/>
    <w:p>
      <w:pPr>
        <w:pStyle w:val="Heading2"/>
      </w:pPr>
      <w:r>
        <w:rPr>
          <w:color w:val="2E75B6"/>
        </w:rPr>
        <w:t>3.3 Características técnicas del ETL</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Característica</w:t>
            </w:r>
          </w:p>
        </w:tc>
        <w:tc>
          <w:tcPr>
            <w:tcW w:type="dxa" w:w="4320"/>
            <w:shd w:val="clear" w:color="auto" w:fill="2E75B6"/>
          </w:tcPr>
          <w:p>
            <w:r>
              <w:rPr>
                <w:b/>
                <w:color w:val="FFFFFF"/>
              </w:rPr>
              <w:t>Descripción</w:t>
            </w:r>
          </w:p>
        </w:tc>
      </w:tr>
      <w:tr>
        <w:tc>
          <w:tcPr>
            <w:tcW w:type="dxa" w:w="4320"/>
          </w:tcPr>
          <w:p>
            <w:r>
              <w:t>Idempotencia</w:t>
            </w:r>
          </w:p>
        </w:tc>
        <w:tc>
          <w:tcPr>
            <w:tcW w:type="dxa" w:w="4320"/>
          </w:tcPr>
          <w:p>
            <w:r>
              <w:t>Uso de hashes MD5 para evitar re-importaciones. Las tablas usan CREATE TABLE IF NOT EXISTS + TRUNCATE en lugar de DROP TABLE.</w:t>
            </w:r>
          </w:p>
        </w:tc>
      </w:tr>
      <w:tr>
        <w:tc>
          <w:tcPr>
            <w:tcW w:type="dxa" w:w="4320"/>
          </w:tcPr>
          <w:p>
            <w:r>
              <w:t>Rendimiento</w:t>
            </w:r>
          </w:p>
        </w:tc>
        <w:tc>
          <w:tcPr>
            <w:tcW w:type="dxa" w:w="4320"/>
          </w:tcPr>
          <w:p>
            <w:r>
              <w:t>Inserciones masivas con COPY FROM STDIN (create_db) y execute_values (dimensiones, hechos). Transformaciones server-side en PostgreSQL via SQL.</w:t>
            </w:r>
          </w:p>
        </w:tc>
      </w:tr>
      <w:tr>
        <w:tc>
          <w:tcPr>
            <w:tcW w:type="dxa" w:w="4320"/>
          </w:tcPr>
          <w:p>
            <w:r>
              <w:t>Calidad de datos</w:t>
            </w:r>
          </w:p>
        </w:tc>
        <w:tc>
          <w:tcPr>
            <w:tcW w:type="dxa" w:w="4320"/>
          </w:tcPr>
          <w:p>
            <w:r>
              <w:t>Checks SQL sin cargar datos en memoria: COUNT, COUNT DISTINCT, information_schema. Umbral configurable de nulos (50%).</w:t>
            </w:r>
          </w:p>
        </w:tc>
      </w:tr>
      <w:tr>
        <w:tc>
          <w:tcPr>
            <w:tcW w:type="dxa" w:w="4320"/>
          </w:tcPr>
          <w:p>
            <w:r>
              <w:t>Seguridad</w:t>
            </w:r>
          </w:p>
        </w:tc>
        <w:tc>
          <w:tcPr>
            <w:tcW w:type="dxa" w:w="4320"/>
          </w:tcPr>
          <w:p>
            <w:r>
              <w:t>Conexiones con psycopg2.sql.SQL + Identifier para prevenir SQL injection. Contenedor Docker con usuario no-root.</w:t>
            </w:r>
          </w:p>
        </w:tc>
      </w:tr>
      <w:tr>
        <w:tc>
          <w:tcPr>
            <w:tcW w:type="dxa" w:w="4320"/>
          </w:tcPr>
          <w:p>
            <w:r>
              <w:t>Resiliencia</w:t>
            </w:r>
          </w:p>
        </w:tc>
        <w:tc>
          <w:tcPr>
            <w:tcW w:type="dxa" w:w="4320"/>
          </w:tcPr>
          <w:p>
            <w:r>
              <w:t>Descargas con retry + exponential backoff, archivos temporales atómicos (.tmp), conexiones con TCP keepalive.</w:t>
            </w:r>
          </w:p>
        </w:tc>
      </w:tr>
      <w:tr>
        <w:tc>
          <w:tcPr>
            <w:tcW w:type="dxa" w:w="4320"/>
          </w:tcPr>
          <w:p>
            <w:r>
              <w:t>Orquestación</w:t>
            </w:r>
          </w:p>
        </w:tc>
        <w:tc>
          <w:tcPr>
            <w:tcW w:type="dxa" w:w="4320"/>
          </w:tcPr>
          <w:p>
            <w:r>
              <w:t>Pipeline local (etl/pipeline.py) y DAG de Airflow con 4 TaskGroups: ingestion, staging, star_schema, delivery.</w:t>
            </w:r>
          </w:p>
        </w:tc>
      </w:tr>
    </w:tbl>
    <w:p>
      <w:r>
        <w:br w:type="page"/>
      </w:r>
    </w:p>
    <w:p>
      <w:pPr>
        <w:pStyle w:val="Heading1"/>
      </w:pPr>
      <w:r>
        <w:rPr>
          <w:color w:val="1F4E79"/>
        </w:rPr>
        <w:t>4. Metodología de Evaluación Causal (Hito 3)</w:t>
      </w:r>
    </w:p>
    <w:p>
      <w:pPr>
        <w:pStyle w:val="Heading2"/>
      </w:pPr>
      <w:r>
        <w:rPr>
          <w:color w:val="2E75B6"/>
        </w:rPr>
        <w:t>4.1 Series de Tiempo Interrumpidas (ITS)</w:t>
      </w:r>
    </w:p>
    <w:p>
      <w:r>
        <w:t>El análisis ITS estima el efecto del cambio de gobierno sobre la matrícula en IES Oficiales usando el modelo de regresión segmentada:</w:t>
      </w:r>
    </w:p>
    <w:p>
      <w:pPr>
        <w:ind w:left="720"/>
      </w:pPr>
      <w:r>
        <w:rPr>
          <w:b/>
          <w:sz w:val="24"/>
        </w:rPr>
        <w:t>Y_t = α₀ + α₁·t + α₂·D_t + α₃·(t − T₀)·D_t + ε_t</w:t>
      </w:r>
    </w:p>
    <w:p>
      <w:r>
        <w:t>donde:</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Parámetro</w:t>
            </w:r>
          </w:p>
        </w:tc>
        <w:tc>
          <w:tcPr>
            <w:tcW w:type="dxa" w:w="4320"/>
            <w:shd w:val="clear" w:color="auto" w:fill="2E75B6"/>
          </w:tcPr>
          <w:p>
            <w:r>
              <w:rPr>
                <w:b/>
                <w:color w:val="FFFFFF"/>
              </w:rPr>
              <w:t>Interpretación</w:t>
            </w:r>
          </w:p>
        </w:tc>
      </w:tr>
      <w:tr>
        <w:tc>
          <w:tcPr>
            <w:tcW w:type="dxa" w:w="4320"/>
          </w:tcPr>
          <w:p>
            <w:r>
              <w:t>t</w:t>
            </w:r>
          </w:p>
        </w:tc>
        <w:tc>
          <w:tcPr>
            <w:tcW w:type="dxa" w:w="4320"/>
          </w:tcPr>
          <w:p>
            <w:r>
              <w:t>Índice de tiempo secuencial (t=1 corresponde a 2018-S1)</w:t>
            </w:r>
          </w:p>
        </w:tc>
      </w:tr>
      <w:tr>
        <w:tc>
          <w:tcPr>
            <w:tcW w:type="dxa" w:w="4320"/>
          </w:tcPr>
          <w:p>
            <w:r>
              <w:t>D_t = 1 si t ≥ T₀</w:t>
            </w:r>
          </w:p>
        </w:tc>
        <w:tc>
          <w:tcPr>
            <w:tcW w:type="dxa" w:w="4320"/>
          </w:tcPr>
          <w:p>
            <w:r>
              <w:t>Indicador post-intervención (T₀ = 2022-S2)</w:t>
            </w:r>
          </w:p>
        </w:tc>
      </w:tr>
      <w:tr>
        <w:tc>
          <w:tcPr>
            <w:tcW w:type="dxa" w:w="4320"/>
          </w:tcPr>
          <w:p>
            <w:r>
              <w:t>α₀</w:t>
            </w:r>
          </w:p>
        </w:tc>
        <w:tc>
          <w:tcPr>
            <w:tcW w:type="dxa" w:w="4320"/>
          </w:tcPr>
          <w:p>
            <w:r>
              <w:t>Nivel inicial (intercepto)</w:t>
            </w:r>
          </w:p>
        </w:tc>
      </w:tr>
      <w:tr>
        <w:tc>
          <w:tcPr>
            <w:tcW w:type="dxa" w:w="4320"/>
          </w:tcPr>
          <w:p>
            <w:r>
              <w:t>α₁</w:t>
            </w:r>
          </w:p>
        </w:tc>
        <w:tc>
          <w:tcPr>
            <w:tcW w:type="dxa" w:w="4320"/>
          </w:tcPr>
          <w:p>
            <w:r>
              <w:t>Tendencia pre-intervención por semestre</w:t>
            </w:r>
          </w:p>
        </w:tc>
      </w:tr>
      <w:tr>
        <w:tc>
          <w:tcPr>
            <w:tcW w:type="dxa" w:w="4320"/>
          </w:tcPr>
          <w:p>
            <w:r>
              <w:t>α₂</w:t>
            </w:r>
          </w:p>
        </w:tc>
        <w:tc>
          <w:tcPr>
            <w:tcW w:type="dxa" w:w="4320"/>
          </w:tcPr>
          <w:p>
            <w:r>
              <w:t>Cambio inmediato de nivel en el punto de quiebre</w:t>
            </w:r>
          </w:p>
        </w:tc>
      </w:tr>
      <w:tr>
        <w:tc>
          <w:tcPr>
            <w:tcW w:type="dxa" w:w="4320"/>
          </w:tcPr>
          <w:p>
            <w:r>
              <w:t>α₃</w:t>
            </w:r>
          </w:p>
        </w:tc>
        <w:tc>
          <w:tcPr>
            <w:tcW w:type="dxa" w:w="4320"/>
          </w:tcPr>
          <w:p>
            <w:r>
              <w:t>Cambio en la pendiente (tendencia) post-intervención</w:t>
            </w:r>
          </w:p>
        </w:tc>
      </w:tr>
    </w:tbl>
    <w:p/>
    <w:p>
      <w:r>
        <w:t>Los errores se estiman con corrección HAC (Newey-West, maxlags=2) para controlar la autocorrelación inherente a las series temporales. El punto de intervención T₀ = 2022-S2 corresponde al inicio efectivo del gobierno Petro en agosto de 2022. Se utilizan los semestres 2018-S1 a 2024-S2 (14 puntos temporales).</w:t>
      </w:r>
    </w:p>
    <w:p>
      <w:pPr>
        <w:pStyle w:val="Heading3"/>
      </w:pPr>
      <w:r>
        <w:t>Supuestos y pruebas de robustez (ITS)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rPr>
              <w:t>Supuesto</w:t>
            </w:r>
          </w:p>
        </w:tc>
        <w:tc>
          <w:tcPr>
            <w:tcW w:type="dxa" w:w="2880"/>
            <w:shd w:val="clear" w:color="auto" w:fill="2E75B6"/>
          </w:tcPr>
          <w:p>
            <w:r>
              <w:rPr>
                <w:b/>
                <w:color w:val="FFFFFF"/>
              </w:rPr>
              <w:t>Evaluación</w:t>
            </w:r>
          </w:p>
        </w:tc>
        <w:tc>
          <w:tcPr>
            <w:tcW w:type="dxa" w:w="2880"/>
            <w:shd w:val="clear" w:color="auto" w:fill="2E75B6"/>
          </w:tcPr>
          <w:p>
            <w:r>
              <w:rPr>
                <w:b/>
                <w:color w:val="FFFFFF"/>
              </w:rPr>
              <w:t>Prueba de robustez</w:t>
            </w:r>
          </w:p>
        </w:tc>
      </w:tr>
      <w:tr>
        <w:tc>
          <w:tcPr>
            <w:tcW w:type="dxa" w:w="2880"/>
          </w:tcPr>
          <w:p>
            <w:r>
              <w:t>Tendencia pre-2022 habría continuado sin cambio de gobierno</w:t>
            </w:r>
          </w:p>
        </w:tc>
        <w:tc>
          <w:tcPr>
            <w:tcW w:type="dxa" w:w="2880"/>
          </w:tcPr>
          <w:p>
            <w:r>
              <w:t>Plausible pero no verificable directamente</w:t>
            </w:r>
          </w:p>
        </w:tc>
        <w:tc>
          <w:tcPr>
            <w:tcW w:type="dxa" w:w="2880"/>
          </w:tcPr>
          <w:p>
            <w:r>
              <w:t>Prueba placebo: desplazar T₀ a 2021-S2 y 2020-S2</w:t>
            </w:r>
          </w:p>
        </w:tc>
      </w:tr>
      <w:tr>
        <w:tc>
          <w:tcPr>
            <w:tcW w:type="dxa" w:w="2880"/>
          </w:tcPr>
          <w:p>
            <w:r>
              <w:t>No hay shocks simultáneos en T₀</w:t>
            </w:r>
          </w:p>
        </w:tc>
        <w:tc>
          <w:tcPr>
            <w:tcW w:type="dxa" w:w="2880"/>
          </w:tcPr>
          <w:p>
            <w:r>
              <w:t>Parcialmente violado: efectos rezagados de pandemia aún presentes en 2022</w:t>
            </w:r>
          </w:p>
        </w:tc>
        <w:tc>
          <w:tcPr>
            <w:tcW w:type="dxa" w:w="2880"/>
          </w:tcPr>
          <w:p>
            <w:r>
              <w:t>Incluir variable de contexto (tasa de desempleo DANE)</w:t>
            </w:r>
          </w:p>
        </w:tc>
      </w:tr>
      <w:tr>
        <w:tc>
          <w:tcPr>
            <w:tcW w:type="dxa" w:w="2880"/>
          </w:tcPr>
          <w:p>
            <w:r>
              <w:t>Errores ε_t no autocorrelacionados</w:t>
            </w:r>
          </w:p>
        </w:tc>
        <w:tc>
          <w:tcPr>
            <w:tcW w:type="dxa" w:w="2880"/>
          </w:tcPr>
          <w:p>
            <w:r>
              <w:t>Posible autocorrelación en series semestrales</w:t>
            </w:r>
          </w:p>
        </w:tc>
        <w:tc>
          <w:tcPr>
            <w:tcW w:type="dxa" w:w="2880"/>
          </w:tcPr>
          <w:p>
            <w:r>
              <w:t>Errores Newey-West con lag=2; prueba Durbin-Watson</w:t>
            </w:r>
          </w:p>
        </w:tc>
      </w:tr>
      <w:tr>
        <w:tc>
          <w:tcPr>
            <w:tcW w:type="dxa" w:w="2880"/>
          </w:tcPr>
          <w:p>
            <w:r>
              <w:t>Series comparables año a año</w:t>
            </w:r>
          </w:p>
        </w:tc>
        <w:tc>
          <w:tcPr>
            <w:tcW w:type="dxa" w:w="2880"/>
          </w:tcPr>
          <w:p>
            <w:r>
              <w:t>Documentado en Hito 2 (cambios metodológicos SNIES)</w:t>
            </w:r>
          </w:p>
        </w:tc>
        <w:tc>
          <w:tcPr>
            <w:tcW w:type="dxa" w:w="2880"/>
          </w:tcPr>
          <w:p>
            <w:r>
              <w:t>Sensibilidad: excluir años de transición metodológica</w:t>
            </w:r>
          </w:p>
        </w:tc>
      </w:tr>
    </w:tbl>
    <w:p/>
    <w:p>
      <w:pPr>
        <w:pStyle w:val="Heading2"/>
      </w:pPr>
      <w:r>
        <w:rPr>
          <w:color w:val="2E75B6"/>
        </w:rPr>
        <w:t>4.2 Diferencias en Diferencias (DiD)</w:t>
      </w:r>
    </w:p>
    <w:p>
      <w:r>
        <w:t>El DiD compara la evolución de la matrícula entre IES Oficiales (grupo tratado) e IES Privadas (grupo control) antes y después de 2022-S2.</w:t>
      </w:r>
    </w:p>
    <w:p>
      <w:pPr>
        <w:pStyle w:val="Heading3"/>
      </w:pPr>
      <w:r>
        <w:t>Modelo TWFE simplificado (datos agregados)</w:t>
      </w:r>
    </w:p>
    <w:p>
      <w:pPr>
        <w:ind w:left="720"/>
      </w:pPr>
      <w:r>
        <w:rPr>
          <w:b/>
          <w:sz w:val="24"/>
        </w:rPr>
        <w:t>Y_{st} = α + β₁·POST_t + β₂·OFICIAL_s + β₃·(POST_t × OFICIAL_s) + ε_{st}</w:t>
      </w:r>
    </w:p>
    <w:p>
      <w:r>
        <w:t>El estimador de interés es β₃: diferencia en el cambio de matrícula entre sector oficial y privado post-2022, usando errores robustos HC1.</w:t>
      </w:r>
    </w:p>
    <w:p>
      <w:pPr>
        <w:pStyle w:val="Heading3"/>
      </w:pPr>
      <w:r>
        <w:t>Modelo panel TWFE (efectos fijos de IES)</w:t>
      </w:r>
    </w:p>
    <w:p>
      <w:pPr>
        <w:ind w:left="720"/>
      </w:pPr>
      <w:r>
        <w:rPr>
          <w:b/>
          <w:sz w:val="24"/>
        </w:rPr>
        <w:t>ln(Y_{it} + 1) = μ_i + γ_t + β·(POST_t × OFICIAL_i) + ε_{it}</w:t>
      </w:r>
    </w:p>
    <w:p>
      <w:r>
        <w:t>Donde μ_i son efectos fijos de IES y γ_t son efectos fijos de tiempo. El estimador β aproxima el cambio porcentual diferencial: (exp(β) − 1) × 100%. Se filtran IES con al menos 4 periodos de datos.</w:t>
      </w:r>
    </w:p>
    <w:p>
      <w:pPr>
        <w:pStyle w:val="Heading3"/>
      </w:pPr>
      <w:r>
        <w:t>Supuesto de tendencias paralelas</w:t>
      </w:r>
    </w:p>
    <w:p>
      <w:r>
        <w:t>El supuesto central del DiD se verifica mediante:</w:t>
      </w:r>
    </w:p>
    <w:p>
      <w:pPr>
        <w:pStyle w:val="ListBullet"/>
      </w:pPr>
      <w:r>
        <w:t>Gráfico de pre-tendencias: evolución de ln(matrícula) por sector, 2018–2022.</w:t>
      </w:r>
    </w:p>
    <w:p>
      <w:pPr>
        <w:pStyle w:val="ListBullet"/>
      </w:pPr>
      <w:r>
        <w:t>Event study: regresión de la interacción por año pre-tratamiento; los coeficientes pre-2022 no deben diferir significativamente de cero.</w:t>
      </w:r>
    </w:p>
    <w:p>
      <w:pPr>
        <w:pStyle w:val="ListBullet"/>
      </w:pPr>
      <w:r>
        <w:t>Prueba placebo sectorial: DiD entre subgrupos de privadas (élite vs. masivas); el estimador debe ser cercano a cero.</w:t>
      </w:r>
    </w:p>
    <w:p/>
    <w:p>
      <w:pPr>
        <w:pStyle w:val="Heading2"/>
      </w:pPr>
      <w:r>
        <w:rPr>
          <w:color w:val="2E75B6"/>
        </w:rPr>
        <w:t>4.3 Bootstrap e Intervalos de Confianza (Criterio F)</w:t>
      </w:r>
    </w:p>
    <w:p>
      <w:r>
        <w:t>Para los estimadores ITS (α₂, α₃) y DiD (β₃) se calculan intervalos de confianza mediante bootstrap no paramétrico con B = 1,000 re-muestras:</w:t>
      </w:r>
    </w:p>
    <w:p>
      <w:pPr>
        <w:pStyle w:val="ListBullet"/>
      </w:pPr>
      <w:r>
        <w:t>Método: bootstrap por bloques temporales (block bootstrap con bloque = 2 semestres) para preservar la autocorrelación de la serie.</w:t>
      </w:r>
    </w:p>
    <w:p>
      <w:pPr>
        <w:pStyle w:val="ListBullet"/>
      </w:pPr>
      <w:r>
        <w:t>Se reporta el IC 95% por método de percentiles (2.5% y 97.5%).</w:t>
      </w:r>
    </w:p>
    <w:p>
      <w:pPr>
        <w:pStyle w:val="ListBullet"/>
      </w:pPr>
      <w:r>
        <w:t>Seed fijo (42) para reproducibilidad.</w:t>
      </w:r>
    </w:p>
    <w:p>
      <w:pPr>
        <w:pStyle w:val="Heading3"/>
      </w:pPr>
      <w:r>
        <w:t>Análisis de sensibilidad</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Dimensión de sensibilidad</w:t>
            </w:r>
          </w:p>
        </w:tc>
        <w:tc>
          <w:tcPr>
            <w:tcW w:type="dxa" w:w="4320"/>
            <w:shd w:val="clear" w:color="auto" w:fill="2E75B6"/>
          </w:tcPr>
          <w:p>
            <w:r>
              <w:rPr>
                <w:b/>
                <w:color w:val="FFFFFF"/>
              </w:rPr>
              <w:t>Variaciones analizadas</w:t>
            </w:r>
          </w:p>
        </w:tc>
      </w:tr>
      <w:tr>
        <w:tc>
          <w:tcPr>
            <w:tcW w:type="dxa" w:w="4320"/>
          </w:tcPr>
          <w:p>
            <w:r>
              <w:t>Punto de quiebre (T₀)</w:t>
            </w:r>
          </w:p>
        </w:tc>
        <w:tc>
          <w:tcPr>
            <w:tcW w:type="dxa" w:w="4320"/>
          </w:tcPr>
          <w:p>
            <w:r>
              <w:t>2021-S2, 2022-S1, 2022-S2 (base), 2023-S1</w:t>
            </w:r>
          </w:p>
        </w:tc>
      </w:tr>
      <w:tr>
        <w:tc>
          <w:tcPr>
            <w:tcW w:type="dxa" w:w="4320"/>
          </w:tcPr>
          <w:p>
            <w:r>
              <w:t>Muestra de IES en DiD</w:t>
            </w:r>
          </w:p>
        </w:tc>
        <w:tc>
          <w:tcPr>
            <w:tcW w:type="dxa" w:w="4320"/>
          </w:tcPr>
          <w:p>
            <w:r>
              <w:t>Todas las IES / Solo universidades / Excluir IES &lt; 500 estudiantes</w:t>
            </w:r>
          </w:p>
        </w:tc>
      </w:tr>
      <w:tr>
        <w:tc>
          <w:tcPr>
            <w:tcW w:type="dxa" w:w="4320"/>
          </w:tcPr>
          <w:p>
            <w:r>
              <w:t>Forma funcional</w:t>
            </w:r>
          </w:p>
        </w:tc>
        <w:tc>
          <w:tcPr>
            <w:tcW w:type="dxa" w:w="4320"/>
          </w:tcPr>
          <w:p>
            <w:r>
              <w:t>Niveles / Logaritmo / Primeras diferencias</w:t>
            </w:r>
          </w:p>
        </w:tc>
      </w:tr>
      <w:tr>
        <w:tc>
          <w:tcPr>
            <w:tcW w:type="dxa" w:w="4320"/>
          </w:tcPr>
          <w:p>
            <w:r>
              <w:t>Grupo de control DiD</w:t>
            </w:r>
          </w:p>
        </w:tc>
        <w:tc>
          <w:tcPr>
            <w:tcW w:type="dxa" w:w="4320"/>
          </w:tcPr>
          <w:p>
            <w:r>
              <w:t>Solo privadas / Solo privadas con mismo departamento</w:t>
            </w:r>
          </w:p>
        </w:tc>
      </w:tr>
    </w:tbl>
    <w:p/>
    <w:p>
      <w:pPr>
        <w:pStyle w:val="Heading2"/>
      </w:pPr>
      <w:r>
        <w:rPr>
          <w:color w:val="2E75B6"/>
        </w:rPr>
        <w:t>4.4 Fuentes de incertidumbre</w:t>
      </w:r>
    </w:p>
    <w:p>
      <w:r>
        <w:t>Se distinguen tres fuentes de incertidumbre cuantificadas: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rPr>
              <w:t>Fuente</w:t>
            </w:r>
          </w:p>
        </w:tc>
        <w:tc>
          <w:tcPr>
            <w:tcW w:type="dxa" w:w="2880"/>
            <w:shd w:val="clear" w:color="auto" w:fill="2E75B6"/>
          </w:tcPr>
          <w:p>
            <w:r>
              <w:rPr>
                <w:b/>
                <w:color w:val="FFFFFF"/>
              </w:rPr>
              <w:t>Descripción</w:t>
            </w:r>
          </w:p>
        </w:tc>
        <w:tc>
          <w:tcPr>
            <w:tcW w:type="dxa" w:w="2880"/>
            <w:shd w:val="clear" w:color="auto" w:fill="2E75B6"/>
          </w:tcPr>
          <w:p>
            <w:r>
              <w:rPr>
                <w:b/>
                <w:color w:val="FFFFFF"/>
              </w:rPr>
              <w:t>Cuantificación</w:t>
            </w:r>
          </w:p>
        </w:tc>
      </w:tr>
      <w:tr>
        <w:tc>
          <w:tcPr>
            <w:tcW w:type="dxa" w:w="2880"/>
          </w:tcPr>
          <w:p>
            <w:r>
              <w:t>Incertidumbre de medición</w:t>
            </w:r>
          </w:p>
        </w:tc>
        <w:tc>
          <w:tcPr>
            <w:tcW w:type="dxa" w:w="2880"/>
          </w:tcPr>
          <w:p>
            <w:r>
              <w:t>Rezagos de reporte SNIES, revisiones retroactivas</w:t>
            </w:r>
          </w:p>
        </w:tc>
        <w:tc>
          <w:tcPr>
            <w:tcW w:type="dxa" w:w="2880"/>
          </w:tcPr>
          <w:p>
            <w:r>
              <w:t>IC bootstrap sobre los datos observados</w:t>
            </w:r>
          </w:p>
        </w:tc>
      </w:tr>
      <w:tr>
        <w:tc>
          <w:tcPr>
            <w:tcW w:type="dxa" w:w="2880"/>
          </w:tcPr>
          <w:p>
            <w:r>
              <w:t>Incertidumbre de modelo</w:t>
            </w:r>
          </w:p>
        </w:tc>
        <w:tc>
          <w:tcPr>
            <w:tcW w:type="dxa" w:w="2880"/>
          </w:tcPr>
          <w:p>
            <w:r>
              <w:t>Especificación lineal vs. cuadrática, lag de efectos</w:t>
            </w:r>
          </w:p>
        </w:tc>
        <w:tc>
          <w:tcPr>
            <w:tcW w:type="dxa" w:w="2880"/>
          </w:tcPr>
          <w:p>
            <w:r>
              <w:t>Comparar AIC/BIC entre especificaciones alternativas</w:t>
            </w:r>
          </w:p>
        </w:tc>
      </w:tr>
      <w:tr>
        <w:tc>
          <w:tcPr>
            <w:tcW w:type="dxa" w:w="2880"/>
          </w:tcPr>
          <w:p>
            <w:r>
              <w:t>Incertidumbre de identificación</w:t>
            </w:r>
          </w:p>
        </w:tc>
        <w:tc>
          <w:tcPr>
            <w:tcW w:type="dxa" w:w="2880"/>
          </w:tcPr>
          <w:p>
            <w:r>
              <w:t>Validez del supuesto de tendencias paralelas</w:t>
            </w:r>
          </w:p>
        </w:tc>
        <w:tc>
          <w:tcPr>
            <w:tcW w:type="dxa" w:w="2880"/>
          </w:tcPr>
          <w:p>
            <w:r>
              <w:t>Gráfico y prueba formal de pre-tendencias</w:t>
            </w:r>
          </w:p>
        </w:tc>
      </w:tr>
    </w:tbl>
    <w:p>
      <w:r>
        <w:br w:type="page"/>
      </w:r>
    </w:p>
    <w:p>
      <w:pPr>
        <w:pStyle w:val="Heading1"/>
      </w:pPr>
      <w:r>
        <w:rPr>
          <w:color w:val="1F4E79"/>
        </w:rPr>
        <w:t>5. Implementación Técnica</w:t>
      </w:r>
    </w:p>
    <w:p>
      <w:r>
        <w:t>Todos los módulos están implementados en Python 3.12+ usando las siguientes bibliotecas principales: pandas, numpy, statsmodels, scipy, plotly, psycopg2, SQLAlchemy, streamlit.</w:t>
      </w:r>
    </w:p>
    <w:p>
      <w:pPr>
        <w:pStyle w:val="Heading2"/>
      </w:pPr>
      <w:r>
        <w:rPr>
          <w:color w:val="2E75B6"/>
        </w:rPr>
        <w:t>5.1 Módulos de análisis (analysis/)</w:t>
      </w:r>
    </w:p>
    <w:p>
      <w:r>
        <w:rPr>
          <w:b/>
          <w:color w:val="2E75B6"/>
        </w:rPr>
        <w:t xml:space="preserve">analysis/queries.py: </w:t>
      </w:r>
      <w:r>
        <w:t>Consultas SQL al star schema PostgreSQL. Retorna DataFrames pandas listos para análisis. Funciones: get_matricula_por_sector(), get_panel_ies(), get_embudo_estudiantil(), get_matricula_por_departamento(), get_docentes_por_sector().</w:t>
      </w:r>
    </w:p>
    <w:p>
      <w:r>
        <w:rPr>
          <w:b/>
          <w:color w:val="2E75B6"/>
        </w:rPr>
        <w:t xml:space="preserve">analysis/tendencias.py: </w:t>
      </w:r>
      <w:r>
        <w:t>Análisis descriptivo: variación % anual e interperiodo. Genera gráficos de series temporales (Plotly) y resumen pre/post 2022 por sector.</w:t>
      </w:r>
    </w:p>
    <w:p>
      <w:r>
        <w:rPr>
          <w:b/>
          <w:color w:val="2E75B6"/>
        </w:rPr>
        <w:t xml:space="preserve">analysis/its.py: </w:t>
      </w:r>
      <w:r>
        <w:t>Modelo ITS con OLS + HAC (Newey-West). Calcula coeficientes α₀-α₃, prueba de Chow, contrafactual proyectado, placebos temporales, y genera gráfico observado vs. contrafactual.</w:t>
      </w:r>
    </w:p>
    <w:p>
      <w:r>
        <w:rPr>
          <w:b/>
          <w:color w:val="2E75B6"/>
        </w:rPr>
        <w:t xml:space="preserve">analysis/did.py: </w:t>
      </w:r>
      <w:r>
        <w:t>DiD agregado (sector × semestre) y panel TWFE (efectos fijos de IES y tiempo). Event study con prueba formal de pre-tendencias. Genera gráficos DiD y event study.</w:t>
      </w:r>
    </w:p>
    <w:p>
      <w:r>
        <w:rPr>
          <w:b/>
          <w:color w:val="2E75B6"/>
        </w:rPr>
        <w:t xml:space="preserve">analysis/bootstrap.py: </w:t>
      </w:r>
      <w:r>
        <w:t>Block bootstrap (bloque=2 semestres, N=1,000) para IC 95% de α₂, α₃ (ITS) y β₃ (DiD). Análisis de escenarios (base / optimista / adverso). Histogramas de distribución bootstrap.</w:t>
      </w:r>
    </w:p>
    <w:p>
      <w:r>
        <w:rPr>
          <w:b/>
          <w:color w:val="2E75B6"/>
        </w:rPr>
        <w:t xml:space="preserve">analysis/runner.py: </w:t>
      </w:r>
      <w:r>
        <w:t>Orquestador principal: ejecuta en orden tendencias → ITS → DiD → bootstrap → resumen ejecutivo JSON. Guarda todos los resultados en data/results/. Uso: python analysis/runner.py</w:t>
      </w:r>
    </w:p>
    <w:p>
      <w:pPr>
        <w:pStyle w:val="Heading2"/>
      </w:pPr>
      <w:r>
        <w:rPr>
          <w:color w:val="2E75B6"/>
        </w:rPr>
        <w:t>5.2 Dashboard Streamlit (dashboard/app.py)</w:t>
      </w:r>
    </w:p>
    <w:p>
      <w:r>
        <w:t>Dashboard interactivo accesible en http://localhost:8501 con 5 pestañas:</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Pestaña</w:t>
            </w:r>
          </w:p>
        </w:tc>
        <w:tc>
          <w:tcPr>
            <w:tcW w:type="dxa" w:w="4320"/>
            <w:shd w:val="clear" w:color="auto" w:fill="2E75B6"/>
          </w:tcPr>
          <w:p>
            <w:r>
              <w:rPr>
                <w:b/>
                <w:color w:val="FFFFFF"/>
              </w:rPr>
              <w:t>Contenido</w:t>
            </w:r>
          </w:p>
        </w:tc>
      </w:tr>
      <w:tr>
        <w:tc>
          <w:tcPr>
            <w:tcW w:type="dxa" w:w="4320"/>
          </w:tcPr>
          <w:p>
            <w:r>
              <w:t>Tendencias</w:t>
            </w:r>
          </w:p>
        </w:tc>
        <w:tc>
          <w:tcPr>
            <w:tcW w:type="dxa" w:w="4320"/>
          </w:tcPr>
          <w:p>
            <w:r>
              <w:t>Serie temporal de matrícula por sector con línea de intervención (2022-S2), variación % anual y métricas pre/post.</w:t>
            </w:r>
          </w:p>
        </w:tc>
      </w:tr>
      <w:tr>
        <w:tc>
          <w:tcPr>
            <w:tcW w:type="dxa" w:w="4320"/>
          </w:tcPr>
          <w:p>
            <w:r>
              <w:t>ITS</w:t>
            </w:r>
          </w:p>
        </w:tc>
        <w:tc>
          <w:tcPr>
            <w:tcW w:type="dxa" w:w="4320"/>
          </w:tcPr>
          <w:p>
            <w:r>
              <w:t>Gráfico observado vs. contrafactual, tabla de coeficientes (α₀-α₃) con IC 95%, prueba de Chow, placebos temporales.</w:t>
            </w:r>
          </w:p>
        </w:tc>
      </w:tr>
      <w:tr>
        <w:tc>
          <w:tcPr>
            <w:tcW w:type="dxa" w:w="4320"/>
          </w:tcPr>
          <w:p>
            <w:r>
              <w:t>DiD</w:t>
            </w:r>
          </w:p>
        </w:tc>
        <w:tc>
          <w:tcPr>
            <w:tcW w:type="dxa" w:w="4320"/>
          </w:tcPr>
          <w:p>
            <w:r>
              <w:t>Estimador β₃ con IC 95%, tabla 2×2 (medias por sector y periodo), gráfico DiD, resultados panel TWFE, event study de pre-tendencias.</w:t>
            </w:r>
          </w:p>
        </w:tc>
      </w:tr>
      <w:tr>
        <w:tc>
          <w:tcPr>
            <w:tcW w:type="dxa" w:w="4320"/>
          </w:tcPr>
          <w:p>
            <w:r>
              <w:t>Bootstrap</w:t>
            </w:r>
          </w:p>
        </w:tc>
        <w:tc>
          <w:tcPr>
            <w:tcW w:type="dxa" w:w="4320"/>
          </w:tcPr>
          <w:p>
            <w:r>
              <w:t>IC 95% bootstrap para α₂ y β₃, gráfico de escenarios (observado / base / optimista / adverso).</w:t>
            </w:r>
          </w:p>
        </w:tc>
      </w:tr>
      <w:tr>
        <w:tc>
          <w:tcPr>
            <w:tcW w:type="dxa" w:w="4320"/>
          </w:tcPr>
          <w:p>
            <w:r>
              <w:t>Resumen ejecutivo</w:t>
            </w:r>
          </w:p>
        </w:tc>
        <w:tc>
          <w:tcPr>
            <w:tcW w:type="dxa" w:w="4320"/>
          </w:tcPr>
          <w:p>
            <w:r>
              <w:t>Hallazgos principales cargados desde JSON, interpretación técnicamente neutral con tabla de tipos de afirmación.</w:t>
            </w:r>
          </w:p>
        </w:tc>
      </w:tr>
    </w:tbl>
    <w:p/>
    <w:p>
      <w:r>
        <w:t>El dashboard incluye un botón 'Re-ejecutar análisis' que invoca analysis/runner.py directamente desde la interfaz, actualizando todos los resultados sin necesidad de terminal.</w:t>
      </w:r>
    </w:p>
    <w:p>
      <w:pPr>
        <w:pStyle w:val="Heading2"/>
      </w:pPr>
      <w:r>
        <w:rPr>
          <w:color w:val="2E75B6"/>
        </w:rPr>
        <w:t>5.3 Notebook Jupyter (notebooks/hito3_analisis.ipynb)</w:t>
      </w:r>
    </w:p>
    <w:p>
      <w:r>
        <w:t>El notebook documenta el análisis paso a paso con celdas ejecutables:</w:t>
      </w:r>
    </w:p>
    <w:p>
      <w:pPr>
        <w:pStyle w:val="ListNumber"/>
      </w:pPr>
      <w:r>
        <w:t>Carga de datos desde PostgreSQL via SQLAlchemy</w:t>
      </w:r>
    </w:p>
    <w:p>
      <w:pPr>
        <w:pStyle w:val="ListNumber"/>
      </w:pPr>
      <w:r>
        <w:t>Análisis de tendencias y embudo estudiantil (inscripción → admisión → matrícula)</w:t>
      </w:r>
    </w:p>
    <w:p>
      <w:pPr>
        <w:pStyle w:val="ListNumber"/>
      </w:pPr>
      <w:r>
        <w:t>ITS: coeficientes, bondad de ajuste, prueba de Chow, placebos</w:t>
      </w:r>
    </w:p>
    <w:p>
      <w:pPr>
        <w:pStyle w:val="ListNumber"/>
      </w:pPr>
      <w:r>
        <w:t>DiD: estimador agregado, panel TWFE, event study</w:t>
      </w:r>
    </w:p>
    <w:p>
      <w:pPr>
        <w:pStyle w:val="ListNumber"/>
      </w:pPr>
      <w:r>
        <w:t>Bootstrap: distribución, IC 95%, análisis de escenarios</w:t>
      </w:r>
    </w:p>
    <w:p>
      <w:pPr>
        <w:pStyle w:val="ListNumber"/>
      </w:pPr>
      <w:r>
        <w:t>Análisis de sensibilidad al punto de quiebre y muestra de IES</w:t>
      </w:r>
    </w:p>
    <w:p>
      <w:pPr>
        <w:pStyle w:val="ListNumber"/>
      </w:pPr>
      <w:r>
        <w:t>Resumen de hallazgos con interpretación técnicamente neutral</w:t>
      </w:r>
    </w:p>
    <w:p>
      <w:r>
        <w:br w:type="page"/>
      </w:r>
    </w:p>
    <w:p>
      <w:pPr>
        <w:pStyle w:val="Heading1"/>
      </w:pPr>
      <w:r>
        <w:rPr>
          <w:color w:val="1F4E79"/>
        </w:rPr>
        <w:t>6. Resultados del Análisis</w:t>
      </w:r>
    </w:p>
    <w:p>
      <w:r>
        <w:t>Los resultados del análisis se generan ejecutando el orquestador principal:</w:t>
      </w:r>
    </w:p>
    <w:p>
      <w:pPr>
        <w:ind w:left="576"/>
      </w:pPr>
      <w:r>
        <w:rPr>
          <w:rFonts w:ascii="Courier New" w:hAnsi="Courier New"/>
          <w:color w:val="000080"/>
          <w:sz w:val="20"/>
        </w:rPr>
        <w:t xml:space="preserve">    uv run python analysis/runner.py</w:t>
      </w:r>
    </w:p>
    <w:p>
      <w:r>
        <w:t>Los resultados se guardan en la carpeta data/results/ con la siguiente estructura:</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Archivo</w:t>
            </w:r>
          </w:p>
        </w:tc>
        <w:tc>
          <w:tcPr>
            <w:tcW w:type="dxa" w:w="4320"/>
            <w:shd w:val="clear" w:color="auto" w:fill="2E75B6"/>
          </w:tcPr>
          <w:p>
            <w:r>
              <w:rPr>
                <w:b/>
                <w:color w:val="FFFFFF"/>
              </w:rPr>
              <w:t>Contenido</w:t>
            </w:r>
          </w:p>
        </w:tc>
      </w:tr>
      <w:tr>
        <w:tc>
          <w:tcPr>
            <w:tcW w:type="dxa" w:w="4320"/>
          </w:tcPr>
          <w:p>
            <w:r>
              <w:t>tendencias_*.csv</w:t>
            </w:r>
          </w:p>
        </w:tc>
        <w:tc>
          <w:tcPr>
            <w:tcW w:type="dxa" w:w="4320"/>
          </w:tcPr>
          <w:p>
            <w:r>
              <w:t>Series temporales por sector y tipo de evento</w:t>
            </w:r>
          </w:p>
        </w:tc>
      </w:tr>
      <w:tr>
        <w:tc>
          <w:tcPr>
            <w:tcW w:type="dxa" w:w="4320"/>
          </w:tcPr>
          <w:p>
            <w:r>
              <w:t>resumen_pre_post_*.csv</w:t>
            </w:r>
          </w:p>
        </w:tc>
        <w:tc>
          <w:tcPr>
            <w:tcW w:type="dxa" w:w="4320"/>
          </w:tcPr>
          <w:p>
            <w:r>
              <w:t>Medias y cambio % pre/post 2022 por sector</w:t>
            </w:r>
          </w:p>
        </w:tc>
      </w:tr>
      <w:tr>
        <w:tc>
          <w:tcPr>
            <w:tcW w:type="dxa" w:w="4320"/>
          </w:tcPr>
          <w:p>
            <w:r>
              <w:t>its_*.json</w:t>
            </w:r>
          </w:p>
        </w:tc>
        <w:tc>
          <w:tcPr>
            <w:tcW w:type="dxa" w:w="4320"/>
          </w:tcPr>
          <w:p>
            <w:r>
              <w:t>Coeficientes ITS, bondad de ajuste, Chow, placebos</w:t>
            </w:r>
          </w:p>
        </w:tc>
      </w:tr>
      <w:tr>
        <w:tc>
          <w:tcPr>
            <w:tcW w:type="dxa" w:w="4320"/>
          </w:tcPr>
          <w:p>
            <w:r>
              <w:t>its_datos_*.csv</w:t>
            </w:r>
          </w:p>
        </w:tc>
        <w:tc>
          <w:tcPr>
            <w:tcW w:type="dxa" w:w="4320"/>
          </w:tcPr>
          <w:p>
            <w:r>
              <w:t>Serie temporal con contrafactual y efecto estimado</w:t>
            </w:r>
          </w:p>
        </w:tc>
      </w:tr>
      <w:tr>
        <w:tc>
          <w:tcPr>
            <w:tcW w:type="dxa" w:w="4320"/>
          </w:tcPr>
          <w:p>
            <w:r>
              <w:t>did_agregado_*.json</w:t>
            </w:r>
          </w:p>
        </w:tc>
        <w:tc>
          <w:tcPr>
            <w:tcW w:type="dxa" w:w="4320"/>
          </w:tcPr>
          <w:p>
            <w:r>
              <w:t>Estimador β₃, IC 95%, medias por sector</w:t>
            </w:r>
          </w:p>
        </w:tc>
      </w:tr>
      <w:tr>
        <w:tc>
          <w:tcPr>
            <w:tcW w:type="dxa" w:w="4320"/>
          </w:tcPr>
          <w:p>
            <w:r>
              <w:t>did_panel_*.json</w:t>
            </w:r>
          </w:p>
        </w:tc>
        <w:tc>
          <w:tcPr>
            <w:tcW w:type="dxa" w:w="4320"/>
          </w:tcPr>
          <w:p>
            <w:r>
              <w:t>Estimador panel TWFE, N IES, N obs</w:t>
            </w:r>
          </w:p>
        </w:tc>
      </w:tr>
      <w:tr>
        <w:tc>
          <w:tcPr>
            <w:tcW w:type="dxa" w:w="4320"/>
          </w:tcPr>
          <w:p>
            <w:r>
              <w:t>event_study_*.csv</w:t>
            </w:r>
          </w:p>
        </w:tc>
        <w:tc>
          <w:tcPr>
            <w:tcW w:type="dxa" w:w="4320"/>
          </w:tcPr>
          <w:p>
            <w:r>
              <w:t>Coeficientes y IC por semestre para pre-tendencias</w:t>
            </w:r>
          </w:p>
        </w:tc>
      </w:tr>
      <w:tr>
        <w:tc>
          <w:tcPr>
            <w:tcW w:type="dxa" w:w="4320"/>
          </w:tcPr>
          <w:p>
            <w:r>
              <w:t>bootstrap_*.json</w:t>
            </w:r>
          </w:p>
        </w:tc>
        <w:tc>
          <w:tcPr>
            <w:tcW w:type="dxa" w:w="4320"/>
          </w:tcPr>
          <w:p>
            <w:r>
              <w:t>IC 95% bootstrap para α₂ y β₃, escenarios</w:t>
            </w:r>
          </w:p>
        </w:tc>
      </w:tr>
      <w:tr>
        <w:tc>
          <w:tcPr>
            <w:tcW w:type="dxa" w:w="4320"/>
          </w:tcPr>
          <w:p>
            <w:r>
              <w:t>resumen_ejecutivo_hito3.json</w:t>
            </w:r>
          </w:p>
        </w:tc>
        <w:tc>
          <w:tcPr>
            <w:tcW w:type="dxa" w:w="4320"/>
          </w:tcPr>
          <w:p>
            <w:r>
              <w:t>Consolidado de hallazgos principales</w:t>
            </w:r>
          </w:p>
        </w:tc>
      </w:tr>
      <w:tr>
        <w:tc>
          <w:tcPr>
            <w:tcW w:type="dxa" w:w="4320"/>
          </w:tcPr>
          <w:p>
            <w:r>
              <w:t>plots/*.html</w:t>
            </w:r>
          </w:p>
        </w:tc>
        <w:tc>
          <w:tcPr>
            <w:tcW w:type="dxa" w:w="4320"/>
          </w:tcPr>
          <w:p>
            <w:r>
              <w:t>Gráficos interactivos Plotly (ITS, DiD, event study, bootstrap)</w:t>
            </w:r>
          </w:p>
        </w:tc>
      </w:tr>
    </w:tbl>
    <w:p/>
    <w:p>
      <w:pPr>
        <w:pStyle w:val="Heading2"/>
      </w:pPr>
      <w:r>
        <w:rPr>
          <w:color w:val="2E75B6"/>
        </w:rPr>
        <w:t>6.1 Resultados ITS — Interpretación esperada</w:t>
      </w:r>
    </w:p>
    <w:p>
      <w:r>
        <w:t>Para el sector Oficial (IES públicas), el modelo ITS estima:</w:t>
      </w:r>
    </w:p>
    <w:p>
      <w:pPr>
        <w:pStyle w:val="ListBullet"/>
      </w:pPr>
      <w:r>
        <w:t>α₁ (tendencia pre-2022): crecimiento o decrecimiento semestral de la matrícula en el período 2018-S1 a 2022-S1, ajustando por tendencia post-pandemia.</w:t>
      </w:r>
    </w:p>
    <w:p>
      <w:pPr>
        <w:pStyle w:val="ListBullet"/>
      </w:pPr>
      <w:r>
        <w:t>α₂ (cambio de nivel en 2022-S2): cambio inmediato en el número de estudiantes matriculados al inicio del gobierno Petro, independiente de la tendencia.</w:t>
      </w:r>
    </w:p>
    <w:p>
      <w:pPr>
        <w:pStyle w:val="ListBullet"/>
      </w:pPr>
      <w:r>
        <w:t>α₃ (cambio de tendencia post-2022): si la pendiente de crecimiento cambió tras la implementación de políticas de gratuidad.</w:t>
      </w:r>
    </w:p>
    <w:p>
      <w:pPr>
        <w:pStyle w:val="ListBullet"/>
      </w:pPr>
      <w:r>
        <w:t>El contrafactual proyecta qué habría ocurrido si la tendencia pre-2022 hubiera continuado, permitiendo estimar el efecto neto por semestre.</w:t>
      </w:r>
    </w:p>
    <w:p>
      <w:pPr>
        <w:pStyle w:val="Heading2"/>
      </w:pPr>
      <w:r>
        <w:rPr>
          <w:color w:val="2E75B6"/>
        </w:rPr>
        <w:t>6.2 Resultados DiD — Interpretación esperada</w:t>
      </w:r>
    </w:p>
    <w:p>
      <w:r>
        <w:t>El estimador DiD β₃ cuantifica si las IES Oficiales crecieron diferencialmente más (o menos) que las privadas tras 2022-S2:</w:t>
      </w:r>
    </w:p>
    <w:p>
      <w:pPr>
        <w:pStyle w:val="ListBullet"/>
      </w:pPr>
      <w:r>
        <w:t>β₃ &gt; 0: las IES Oficiales ganaron más matrícula que las privadas (consistente con el efecto esperado de la política de gratuidad).</w:t>
      </w:r>
    </w:p>
    <w:p>
      <w:pPr>
        <w:pStyle w:val="ListBullet"/>
      </w:pPr>
      <w:r>
        <w:t>β₃ ≈ 0: no hay diferencial entre sectores (la política no habría modificado la composición del crecimiento).</w:t>
      </w:r>
    </w:p>
    <w:p>
      <w:pPr>
        <w:pStyle w:val="ListBullet"/>
      </w:pPr>
      <w:r>
        <w:t>β₃ &lt; 0: las IES privadas crecieron más que las oficiales (inconsistente con la hipótesis del efecto de gratuidad).</w:t>
      </w:r>
    </w:p>
    <w:p>
      <w:pPr>
        <w:pStyle w:val="ListBullet"/>
      </w:pPr>
      <w:r>
        <w:t>La significatividad estadística (p &lt; 0.05) determina si el diferencial supera el ruido muestral.</w:t>
      </w:r>
    </w:p>
    <w:p>
      <w:r>
        <w:t>NOTA IMPORTANTE: los estimadores son medidas de asociación, no de causalidad pura. Un estimador positivo y significativo es consistente con la hipótesis de la política, pero no descarta explicaciones alternativas (recuperación post-COVID, ciclo económico, cambios demográficos).</w:t>
      </w:r>
    </w:p>
    <w:p>
      <w:r>
        <w:br w:type="page"/>
      </w:r>
    </w:p>
    <w:p>
      <w:pPr>
        <w:pStyle w:val="Heading1"/>
      </w:pPr>
      <w:r>
        <w:rPr>
          <w:color w:val="1F4E79"/>
        </w:rPr>
        <w:t>7. Declaración de Neutralidad Técnica (Criterio G)</w:t>
      </w:r>
    </w:p>
    <w:p>
      <w:r>
        <w:t>Los resultados de este análisis se presentan bajo los siguientes principios de neutralidad técnica:</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Tipo de afirmación</w:t>
            </w:r>
          </w:p>
        </w:tc>
        <w:tc>
          <w:tcPr>
            <w:tcW w:type="dxa" w:w="4320"/>
            <w:shd w:val="clear" w:color="auto" w:fill="2E75B6"/>
          </w:tcPr>
          <w:p>
            <w:r>
              <w:rPr>
                <w:b/>
                <w:color w:val="FFFFFF"/>
              </w:rPr>
              <w:t>Descripción y ejemplo</w:t>
            </w:r>
          </w:p>
        </w:tc>
      </w:tr>
      <w:tr>
        <w:tc>
          <w:tcPr>
            <w:tcW w:type="dxa" w:w="4320"/>
          </w:tcPr>
          <w:p>
            <w:r>
              <w:t>Hechos medidos</w:t>
            </w:r>
          </w:p>
        </w:tc>
        <w:tc>
          <w:tcPr>
            <w:tcW w:type="dxa" w:w="4320"/>
          </w:tcPr>
          <w:p>
            <w:r>
              <w:t>Estadísticas descriptivas y estimadores de modelos con sus incertidumbres. Ejemplo: 'La matrícula en IES Oficiales registró X% de cambio entre 2022-S2 y 2024-S2'</w:t>
            </w:r>
          </w:p>
        </w:tc>
      </w:tr>
      <w:tr>
        <w:tc>
          <w:tcPr>
            <w:tcW w:type="dxa" w:w="4320"/>
          </w:tcPr>
          <w:p>
            <w:r>
              <w:t>Inferencias condicionadas</w:t>
            </w:r>
          </w:p>
        </w:tc>
        <w:tc>
          <w:tcPr>
            <w:tcW w:type="dxa" w:w="4320"/>
          </w:tcPr>
          <w:p>
            <w:r>
              <w:t>Interpretaciones causales explícitamente condicionadas a supuestos declarados. Ejemplo: 'Bajo el supuesto de tendencias paralelas, el DiD sugiere un diferencial de Y estudiantes atribuible a la política'</w:t>
            </w:r>
          </w:p>
        </w:tc>
      </w:tr>
      <w:tr>
        <w:tc>
          <w:tcPr>
            <w:tcW w:type="dxa" w:w="4320"/>
          </w:tcPr>
          <w:p>
            <w:r>
              <w:t>Límites explícitos</w:t>
            </w:r>
          </w:p>
        </w:tc>
        <w:tc>
          <w:tcPr>
            <w:tcW w:type="dxa" w:w="4320"/>
          </w:tcPr>
          <w:p>
            <w:r>
              <w:t>No se extrapola más allá de lo que los datos y el diseño permiten afirmar. Ejemplo: 'No es posible descartar que la recuperación post-pandemia u otros factores expliquen parte del cambio'</w:t>
            </w:r>
          </w:p>
        </w:tc>
      </w:tr>
    </w:tbl>
    <w:p/>
    <w:p>
      <w:pPr>
        <w:pStyle w:val="Heading2"/>
      </w:pPr>
      <w:r>
        <w:rPr>
          <w:color w:val="2E75B6"/>
        </w:rPr>
        <w:t>7.1 Posibles lecturas alternativas</w:t>
      </w:r>
    </w:p>
    <w:p>
      <w:r>
        <w:t>Un crítico de la política podría argumentar que el crecimiento post-2022 en IES Oficiales es continuación de la tendencia de recuperación post-COVID, no de la política de gratuidad. Esta lectura es igualmente compatible con los datos si α₂ y α₃ no son estadísticamente significativos.</w:t>
      </w:r>
    </w:p>
    <w:p>
      <w:r>
        <w:t>Un defensor de la política podría señalar que el diferencial positivo Oficial − Privada (β₃ &gt; 0) es consistente con una política focalizada en el sector público que no debería afectar al privado de la misma forma. Esta lectura es válida si el supuesto de tendencias paralelas se sostiene.</w:t>
      </w:r>
    </w:p>
    <w:p>
      <w:r>
        <w:t>La evidencia disponible (14 puntos temporales semestrales, sin variación aleatoria de tratamiento) no permite inclinar definitivamente la balanza entre estas lecturas. El análisis aporta una estimación rigurosa y técnicamente neutral de la asociación entre la política y la matrícula, sin afirmar causalidad.</w:t>
      </w:r>
    </w:p>
    <w:p>
      <w:r>
        <w:br w:type="page"/>
      </w:r>
    </w:p>
    <w:p>
      <w:pPr>
        <w:pStyle w:val="Heading1"/>
      </w:pPr>
      <w:r>
        <w:rPr>
          <w:color w:val="1F4E79"/>
        </w:rPr>
        <w:t>8. Conclusiones</w:t>
      </w:r>
    </w:p>
    <w:p>
      <w:r>
        <w:rPr>
          <w:b/>
        </w:rPr>
        <w:t xml:space="preserve">1. </w:t>
      </w:r>
      <w:r>
        <w:t>Pipeline ETL completo: Se construyó un sistema de extracción, transformación y carga que procesa 49+ archivos SNIES (2018–2024), los consolida en un esquema estrella PostgreSQL con 7 dimensiones y 3 tablas de hechos, y exporta automáticamente los datos a Google Drive.</w:t>
      </w:r>
    </w:p>
    <w:p>
      <w:r>
        <w:rPr>
          <w:b/>
        </w:rPr>
        <w:t xml:space="preserve">2. </w:t>
      </w:r>
      <w:r>
        <w:t>Metodología causal aprobada: Se implementaron dos métodos complementarios (ITS y DiD) con corrección de errores HAC, pruebas de validación (Chow, pre-tendencias, placebos) y análisis de sensibilidad a supuestos clave.</w:t>
      </w:r>
    </w:p>
    <w:p>
      <w:r>
        <w:rPr>
          <w:b/>
        </w:rPr>
        <w:t xml:space="preserve">3. </w:t>
      </w:r>
      <w:r>
        <w:t>Incertidumbre cuantificada: Los intervalos de confianza bootstrap (N=1,000, block bootstrap) permiten reportar la incertidumbre de los estimadores sin asumir distribución paramétrica, distinguiendo tres fuentes: medición, modelo e identificación.</w:t>
      </w:r>
    </w:p>
    <w:p>
      <w:r>
        <w:rPr>
          <w:b/>
        </w:rPr>
        <w:t xml:space="preserve">4. </w:t>
      </w:r>
      <w:r>
        <w:t>Dashboard funcional: La aplicación Streamlit integra todos los resultados en una interfaz interactiva con 5 pestañas, incluyendo re-ejecución del análisis en tiempo real.</w:t>
      </w:r>
    </w:p>
    <w:p>
      <w:r>
        <w:rPr>
          <w:b/>
        </w:rPr>
        <w:t xml:space="preserve">5. </w:t>
      </w:r>
      <w:r>
        <w:t>Reproducibilidad: El notebook Jupyter y el orquestador runner.py permiten reproducir todo el análisis desde cero con un único comando, partiendo de la base de datos PostgreSQL.</w:t>
      </w:r>
    </w:p>
    <w:p>
      <w:r>
        <w:rPr>
          <w:b/>
        </w:rPr>
        <w:t xml:space="preserve">6. </w:t>
      </w:r>
      <w:r>
        <w:t>Neutralidad técnica: Los resultados se presentan con declaraciones explícitas sobre el tipo de inferencia (hecho medido, inferencia condicionada, límite del análisis), sin tomar partido por ninguna posición política.</w:t>
      </w:r>
    </w:p>
    <w:p>
      <w:r>
        <w:br w:type="page"/>
      </w:r>
    </w:p>
    <w:p>
      <w:pPr>
        <w:pStyle w:val="Heading1"/>
      </w:pPr>
      <w:r>
        <w:rPr>
          <w:color w:val="1F4E79"/>
        </w:rPr>
        <w:t>9. Bibliografía</w:t>
      </w:r>
    </w:p>
    <w:p>
      <w:pPr>
        <w:pStyle w:val="ListBullet"/>
        <w:spacing w:after="80"/>
      </w:pPr>
      <w:r>
        <w:t>Bernal, R. &amp; Peña, X. (2011). Guía práctica para la evaluación de impacto. Cap. 4: Diferencias en diferencias. CEDE - Universidad de los Andes.</w:t>
      </w:r>
    </w:p>
    <w:p>
      <w:pPr>
        <w:pStyle w:val="ListBullet"/>
        <w:spacing w:after="80"/>
      </w:pPr>
      <w:r>
        <w:t>Cameron, A. &amp; Trivedi, P. (2005). Microeconometrics: Methods and Applications. Cambridge University Press. Cap. 11: Bootstrap.</w:t>
      </w:r>
    </w:p>
    <w:p>
      <w:pPr>
        <w:pStyle w:val="ListBullet"/>
        <w:spacing w:after="80"/>
      </w:pPr>
      <w:r>
        <w:t>DNP (2022). Plan Nacional de Desarrollo 2022–2026: Colombia Potencia Mundial de la Vida. Departamento Nacional de Planeación, Bogotá.</w:t>
      </w:r>
    </w:p>
    <w:p>
      <w:pPr>
        <w:pStyle w:val="ListBullet"/>
        <w:spacing w:after="80"/>
      </w:pPr>
      <w:r>
        <w:t>MEN / SNIES (2018–2024). Bases de datos de matrícula, admisiones, inscripciones, graduados y docentes en educación superior. Ministerio de Educación Nacional.</w:t>
      </w:r>
    </w:p>
    <w:p>
      <w:pPr>
        <w:pStyle w:val="ListBullet"/>
        <w:spacing w:after="80"/>
      </w:pPr>
      <w:r>
        <w:t>Newey, W. &amp; West, K. (1987). A simple, positive semi-definite, heteroskedasticity and autocorrelation consistent covariance matrix. Econometrica, 55(3), 703–708.</w:t>
      </w:r>
    </w:p>
    <w:p>
      <w:pPr>
        <w:pStyle w:val="ListBullet"/>
        <w:spacing w:after="80"/>
      </w:pPr>
      <w:r>
        <w:t>Shadish, W., Cook, T. &amp; Campbell, D. (2002). Experimental and Quasi-Experimental Designs for Generalized Causal Inference. Cap. 7: Interrupted Time Series. Houghton Mifflin.</w:t>
      </w:r>
    </w:p>
    <w:p>
      <w:pPr>
        <w:pStyle w:val="ListBullet"/>
        <w:spacing w:after="80"/>
      </w:pPr>
      <w:r>
        <w:t>Wagner, A., Soumerai, S., Zhang, F. &amp; Ross-Degnan, D. (2002). Segmented regression analysis of interrupted time series studies in medication use research. Journal of Clinical Pharmacy and Therapeutics, 27, 299–309.</w:t>
      </w:r>
    </w:p>
    <w:p>
      <w:r>
        <w:br w:type="page"/>
      </w:r>
    </w:p>
    <w:p>
      <w:pPr>
        <w:pStyle w:val="Heading1"/>
      </w:pPr>
      <w:r>
        <w:rPr>
          <w:color w:val="1F4E79"/>
        </w:rPr>
        <w:t>10. Anexos Técnicos</w:t>
      </w:r>
    </w:p>
    <w:p>
      <w:pPr>
        <w:pStyle w:val="Heading2"/>
      </w:pPr>
      <w:r>
        <w:rPr>
          <w:color w:val="2E75B6"/>
        </w:rPr>
        <w:t>10.1 Estructura del repositorio</w:t>
      </w:r>
    </w:p>
    <w:p>
      <w:r>
        <w:rPr>
          <w:rFonts w:ascii="Courier New" w:hAnsi="Courier New"/>
          <w:sz w:val="18"/>
        </w:rPr>
        <w:t>config/         Constantes, rutas, credenciales, fuentes de datos</w:t>
      </w:r>
    </w:p>
    <w:p>
      <w:r>
        <w:rPr>
          <w:rFonts w:ascii="Courier New" w:hAnsi="Courier New"/>
          <w:sz w:val="18"/>
        </w:rPr>
        <w:t>etl/            Pipeline ETL: ingest, transform, quality, dictionary, upload, pipeline</w:t>
      </w:r>
    </w:p>
    <w:p>
      <w:r>
        <w:rPr>
          <w:rFonts w:ascii="Courier New" w:hAnsi="Courier New"/>
          <w:sz w:val="18"/>
        </w:rPr>
        <w:t>analysis/       Módulos de análisis causal: queries, tendencias, its, did, bootstrap, runner</w:t>
      </w:r>
    </w:p>
    <w:p>
      <w:r>
        <w:rPr>
          <w:rFonts w:ascii="Courier New" w:hAnsi="Courier New"/>
          <w:sz w:val="18"/>
        </w:rPr>
        <w:t>scripts/        Scripts de base de datos: create_db, create_schemas, normalize,</w:t>
      </w:r>
    </w:p>
    <w:p>
      <w:r>
        <w:rPr>
          <w:rFonts w:ascii="Courier New" w:hAnsi="Courier New"/>
          <w:sz w:val="18"/>
        </w:rPr>
        <w:t xml:space="preserve">                create_indexes, unify_by_year, create_dimensions, create_facts,</w:t>
      </w:r>
    </w:p>
    <w:p>
      <w:r>
        <w:rPr>
          <w:rFonts w:ascii="Courier New" w:hAnsi="Courier New"/>
          <w:sz w:val="18"/>
        </w:rPr>
        <w:t xml:space="preserve">                generate_report (este script)</w:t>
      </w:r>
    </w:p>
    <w:p>
      <w:r>
        <w:rPr>
          <w:rFonts w:ascii="Courier New" w:hAnsi="Courier New"/>
          <w:sz w:val="18"/>
        </w:rPr>
        <w:t>dashboard/      Aplicación Streamlit (app.py)</w:t>
      </w:r>
    </w:p>
    <w:p>
      <w:r>
        <w:rPr>
          <w:rFonts w:ascii="Courier New" w:hAnsi="Courier New"/>
          <w:sz w:val="18"/>
        </w:rPr>
        <w:t>notebooks/      Jupyter notebook del análisis (hito3_analisis.ipynb)</w:t>
      </w:r>
    </w:p>
    <w:p>
      <w:r>
        <w:rPr>
          <w:rFonts w:ascii="Courier New" w:hAnsi="Courier New"/>
          <w:sz w:val="18"/>
        </w:rPr>
        <w:t>utils/          Utilidades: db, google_auth, logger, text, schema_helpers</w:t>
      </w:r>
    </w:p>
    <w:p>
      <w:r>
        <w:rPr>
          <w:rFonts w:ascii="Courier New" w:hAnsi="Courier New"/>
          <w:sz w:val="18"/>
        </w:rPr>
        <w:t>airflow/        DAG de Airflow para orquestación en producción</w:t>
      </w:r>
    </w:p>
    <w:p>
      <w:r>
        <w:rPr>
          <w:rFonts w:ascii="Courier New" w:hAnsi="Courier New"/>
          <w:sz w:val="18"/>
        </w:rPr>
        <w:t>data/           Datos generados (raw/, processed/, results/, exports/)</w:t>
      </w:r>
    </w:p>
    <w:p>
      <w:r>
        <w:rPr>
          <w:rFonts w:ascii="Courier New" w:hAnsi="Courier New"/>
          <w:sz w:val="18"/>
        </w:rPr>
        <w:t>docs/           Documentación: metodologia_hito3.md, star_schema_design.md</w:t>
      </w:r>
    </w:p>
    <w:p>
      <w:pPr>
        <w:pStyle w:val="Heading2"/>
      </w:pPr>
      <w:r>
        <w:rPr>
          <w:color w:val="2E75B6"/>
        </w:rPr>
        <w:t>10.2 Dependencias principales</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Paquete</w:t>
            </w:r>
          </w:p>
        </w:tc>
        <w:tc>
          <w:tcPr>
            <w:tcW w:type="dxa" w:w="4320"/>
            <w:shd w:val="clear" w:color="auto" w:fill="2E75B6"/>
          </w:tcPr>
          <w:p>
            <w:r>
              <w:rPr>
                <w:b/>
                <w:color w:val="FFFFFF"/>
              </w:rPr>
              <w:t>Propósito</w:t>
            </w:r>
          </w:p>
        </w:tc>
      </w:tr>
      <w:tr>
        <w:tc>
          <w:tcPr>
            <w:tcW w:type="dxa" w:w="4320"/>
          </w:tcPr>
          <w:p>
            <w:r>
              <w:t>pandas &gt;= 3.0</w:t>
            </w:r>
          </w:p>
        </w:tc>
        <w:tc>
          <w:tcPr>
            <w:tcW w:type="dxa" w:w="4320"/>
          </w:tcPr>
          <w:p>
            <w:r>
              <w:t>Manipulación de datos tabulares</w:t>
            </w:r>
          </w:p>
        </w:tc>
      </w:tr>
      <w:tr>
        <w:tc>
          <w:tcPr>
            <w:tcW w:type="dxa" w:w="4320"/>
          </w:tcPr>
          <w:p>
            <w:r>
              <w:t>numpy &gt;= 2.2</w:t>
            </w:r>
          </w:p>
        </w:tc>
        <w:tc>
          <w:tcPr>
            <w:tcW w:type="dxa" w:w="4320"/>
          </w:tcPr>
          <w:p>
            <w:r>
              <w:t>Cálculos numéricos y bootstrap</w:t>
            </w:r>
          </w:p>
        </w:tc>
      </w:tr>
      <w:tr>
        <w:tc>
          <w:tcPr>
            <w:tcW w:type="dxa" w:w="4320"/>
          </w:tcPr>
          <w:p>
            <w:r>
              <w:t>statsmodels &gt;= 0.14</w:t>
            </w:r>
          </w:p>
        </w:tc>
        <w:tc>
          <w:tcPr>
            <w:tcW w:type="dxa" w:w="4320"/>
          </w:tcPr>
          <w:p>
            <w:r>
              <w:t>OLS con corrección HAC, regresión segmentada</w:t>
            </w:r>
          </w:p>
        </w:tc>
      </w:tr>
      <w:tr>
        <w:tc>
          <w:tcPr>
            <w:tcW w:type="dxa" w:w="4320"/>
          </w:tcPr>
          <w:p>
            <w:r>
              <w:t>scipy &gt;= 1.15</w:t>
            </w:r>
          </w:p>
        </w:tc>
        <w:tc>
          <w:tcPr>
            <w:tcW w:type="dxa" w:w="4320"/>
          </w:tcPr>
          <w:p>
            <w:r>
              <w:t>Tests estadísticos (Chow, pre-tendencias)</w:t>
            </w:r>
          </w:p>
        </w:tc>
      </w:tr>
      <w:tr>
        <w:tc>
          <w:tcPr>
            <w:tcW w:type="dxa" w:w="4320"/>
          </w:tcPr>
          <w:p>
            <w:r>
              <w:t>plotly &gt;= 6.5</w:t>
            </w:r>
          </w:p>
        </w:tc>
        <w:tc>
          <w:tcPr>
            <w:tcW w:type="dxa" w:w="4320"/>
          </w:tcPr>
          <w:p>
            <w:r>
              <w:t>Gráficos interactivos</w:t>
            </w:r>
          </w:p>
        </w:tc>
      </w:tr>
      <w:tr>
        <w:tc>
          <w:tcPr>
            <w:tcW w:type="dxa" w:w="4320"/>
          </w:tcPr>
          <w:p>
            <w:r>
              <w:t>psycopg2-binary &gt;= 2.9</w:t>
            </w:r>
          </w:p>
        </w:tc>
        <w:tc>
          <w:tcPr>
            <w:tcW w:type="dxa" w:w="4320"/>
          </w:tcPr>
          <w:p>
            <w:r>
              <w:t>Conexión a PostgreSQL</w:t>
            </w:r>
          </w:p>
        </w:tc>
      </w:tr>
      <w:tr>
        <w:tc>
          <w:tcPr>
            <w:tcW w:type="dxa" w:w="4320"/>
          </w:tcPr>
          <w:p>
            <w:r>
              <w:t>sqlalchemy &gt;= 2.0</w:t>
            </w:r>
          </w:p>
        </w:tc>
        <w:tc>
          <w:tcPr>
            <w:tcW w:type="dxa" w:w="4320"/>
          </w:tcPr>
          <w:p>
            <w:r>
              <w:t>ORM y pool de conexiones</w:t>
            </w:r>
          </w:p>
        </w:tc>
      </w:tr>
      <w:tr>
        <w:tc>
          <w:tcPr>
            <w:tcW w:type="dxa" w:w="4320"/>
          </w:tcPr>
          <w:p>
            <w:r>
              <w:t>streamlit &gt;= 1.19</w:t>
            </w:r>
          </w:p>
        </w:tc>
        <w:tc>
          <w:tcPr>
            <w:tcW w:type="dxa" w:w="4320"/>
          </w:tcPr>
          <w:p>
            <w:r>
              <w:t>Dashboard interactivo</w:t>
            </w:r>
          </w:p>
        </w:tc>
      </w:tr>
      <w:tr>
        <w:tc>
          <w:tcPr>
            <w:tcW w:type="dxa" w:w="4320"/>
          </w:tcPr>
          <w:p>
            <w:r>
              <w:t>python-docx &gt;= 1.1</w:t>
            </w:r>
          </w:p>
        </w:tc>
        <w:tc>
          <w:tcPr>
            <w:tcW w:type="dxa" w:w="4320"/>
          </w:tcPr>
          <w:p>
            <w:r>
              <w:t>Generación del informe Word (este script)</w:t>
            </w:r>
          </w:p>
        </w:tc>
      </w:tr>
      <w:tr>
        <w:tc>
          <w:tcPr>
            <w:tcW w:type="dxa" w:w="4320"/>
          </w:tcPr>
          <w:p>
            <w:r>
              <w:t>google-api-python-client &gt;= 2.19</w:t>
            </w:r>
          </w:p>
        </w:tc>
        <w:tc>
          <w:tcPr>
            <w:tcW w:type="dxa" w:w="4320"/>
          </w:tcPr>
          <w:p>
            <w:r>
              <w:t>Integración con Google Drive</w:t>
            </w:r>
          </w:p>
        </w:tc>
      </w:tr>
      <w:tr>
        <w:tc>
          <w:tcPr>
            <w:tcW w:type="dxa" w:w="4320"/>
          </w:tcPr>
          <w:p>
            <w:r>
              <w:t>openpyxl &gt;= 3.1</w:t>
            </w:r>
          </w:p>
        </w:tc>
        <w:tc>
          <w:tcPr>
            <w:tcW w:type="dxa" w:w="4320"/>
          </w:tcPr>
          <w:p>
            <w:r>
              <w:t>Lectura de archivos Excel (.xlsx)</w:t>
            </w:r>
          </w:p>
        </w:tc>
      </w:tr>
      <w:tr>
        <w:tc>
          <w:tcPr>
            <w:tcW w:type="dxa" w:w="4320"/>
          </w:tcPr>
          <w:p>
            <w:r>
              <w:t>jupyter &gt;= 1.1</w:t>
            </w:r>
          </w:p>
        </w:tc>
        <w:tc>
          <w:tcPr>
            <w:tcW w:type="dxa" w:w="4320"/>
          </w:tcPr>
          <w:p>
            <w:r>
              <w:t>Notebook de análisis</w:t>
            </w:r>
          </w:p>
        </w:tc>
      </w:tr>
    </w:tbl>
    <w:p/>
    <w:p>
      <w:pPr>
        <w:pStyle w:val="Heading2"/>
      </w:pPr>
      <w:r>
        <w:rPr>
          <w:color w:val="2E75B6"/>
        </w:rPr>
        <w:t>10.3 Comandos de ejecución</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Acción</w:t>
            </w:r>
          </w:p>
        </w:tc>
        <w:tc>
          <w:tcPr>
            <w:tcW w:type="dxa" w:w="4320"/>
            <w:shd w:val="clear" w:color="auto" w:fill="2E75B6"/>
          </w:tcPr>
          <w:p>
            <w:r>
              <w:rPr>
                <w:b/>
                <w:color w:val="FFFFFF"/>
              </w:rPr>
              <w:t>Comando</w:t>
            </w:r>
          </w:p>
        </w:tc>
      </w:tr>
      <w:tr>
        <w:tc>
          <w:tcPr>
            <w:tcW w:type="dxa" w:w="4320"/>
          </w:tcPr>
          <w:p>
            <w:r>
              <w:t>Instalar dependencias</w:t>
            </w:r>
          </w:p>
        </w:tc>
        <w:tc>
          <w:tcPr>
            <w:tcW w:type="dxa" w:w="4320"/>
          </w:tcPr>
          <w:p>
            <w:r>
              <w:t>uv sync</w:t>
            </w:r>
          </w:p>
        </w:tc>
      </w:tr>
      <w:tr>
        <w:tc>
          <w:tcPr>
            <w:tcW w:type="dxa" w:w="4320"/>
          </w:tcPr>
          <w:p>
            <w:r>
              <w:t>Autenticación Google</w:t>
            </w:r>
          </w:p>
        </w:tc>
        <w:tc>
          <w:tcPr>
            <w:tcW w:type="dxa" w:w="4320"/>
          </w:tcPr>
          <w:p>
            <w:r>
              <w:t>uv run python reauth.py</w:t>
            </w:r>
          </w:p>
        </w:tc>
      </w:tr>
      <w:tr>
        <w:tc>
          <w:tcPr>
            <w:tcW w:type="dxa" w:w="4320"/>
          </w:tcPr>
          <w:p>
            <w:r>
              <w:t>Pipeline ETL completo</w:t>
            </w:r>
          </w:p>
        </w:tc>
        <w:tc>
          <w:tcPr>
            <w:tcW w:type="dxa" w:w="4320"/>
          </w:tcPr>
          <w:p>
            <w:r>
              <w:t>uv run python -m etl.pipeline</w:t>
            </w:r>
          </w:p>
        </w:tc>
      </w:tr>
      <w:tr>
        <w:tc>
          <w:tcPr>
            <w:tcW w:type="dxa" w:w="4320"/>
          </w:tcPr>
          <w:p>
            <w:r>
              <w:t>Solo análisis (sin ingesta)</w:t>
            </w:r>
          </w:p>
        </w:tc>
        <w:tc>
          <w:tcPr>
            <w:tcW w:type="dxa" w:w="4320"/>
          </w:tcPr>
          <w:p>
            <w:r>
              <w:t>uv run python -m etl.pipeline --skip-ingest</w:t>
            </w:r>
          </w:p>
        </w:tc>
      </w:tr>
      <w:tr>
        <w:tc>
          <w:tcPr>
            <w:tcW w:type="dxa" w:w="4320"/>
          </w:tcPr>
          <w:p>
            <w:r>
              <w:t>Análisis Hito 3</w:t>
            </w:r>
          </w:p>
        </w:tc>
        <w:tc>
          <w:tcPr>
            <w:tcW w:type="dxa" w:w="4320"/>
          </w:tcPr>
          <w:p>
            <w:r>
              <w:t>uv run python analysis/runner.py</w:t>
            </w:r>
          </w:p>
        </w:tc>
      </w:tr>
      <w:tr>
        <w:tc>
          <w:tcPr>
            <w:tcW w:type="dxa" w:w="4320"/>
          </w:tcPr>
          <w:p>
            <w:r>
              <w:t>Dashboard</w:t>
            </w:r>
          </w:p>
        </w:tc>
        <w:tc>
          <w:tcPr>
            <w:tcW w:type="dxa" w:w="4320"/>
          </w:tcPr>
          <w:p>
            <w:r>
              <w:t>streamlit run dashboard/app.py</w:t>
            </w:r>
          </w:p>
        </w:tc>
      </w:tr>
      <w:tr>
        <w:tc>
          <w:tcPr>
            <w:tcW w:type="dxa" w:w="4320"/>
          </w:tcPr>
          <w:p>
            <w:r>
              <w:t>Notebook Jupyter</w:t>
            </w:r>
          </w:p>
        </w:tc>
        <w:tc>
          <w:tcPr>
            <w:tcW w:type="dxa" w:w="4320"/>
          </w:tcPr>
          <w:p>
            <w:r>
              <w:t>uv run jupyter notebook notebooks/hito3_analisis.ipynb</w:t>
            </w:r>
          </w:p>
        </w:tc>
      </w:tr>
      <w:tr>
        <w:tc>
          <w:tcPr>
            <w:tcW w:type="dxa" w:w="4320"/>
          </w:tcPr>
          <w:p>
            <w:r>
              <w:t>Generar este informe</w:t>
            </w:r>
          </w:p>
        </w:tc>
        <w:tc>
          <w:tcPr>
            <w:tcW w:type="dxa" w:w="4320"/>
          </w:tcPr>
          <w:p>
            <w:r>
              <w:t>uv run python scripts/generate_report.py</w:t>
            </w:r>
          </w:p>
        </w:tc>
      </w:tr>
      <w:tr>
        <w:tc>
          <w:tcPr>
            <w:tcW w:type="dxa" w:w="4320"/>
          </w:tcPr>
          <w:p>
            <w:r>
              <w:t>Docker (pipeline)</w:t>
            </w:r>
          </w:p>
        </w:tc>
        <w:tc>
          <w:tcPr>
            <w:tcW w:type="dxa" w:w="4320"/>
          </w:tcPr>
          <w:p>
            <w:r>
              <w:t>docker compose run pipeline python -m etl.pipeline</w:t>
            </w:r>
          </w:p>
        </w:tc>
      </w:tr>
      <w:tr>
        <w:tc>
          <w:tcPr>
            <w:tcW w:type="dxa" w:w="4320"/>
          </w:tcPr>
          <w:p>
            <w:r>
              <w:t>Docker (dashboard)</w:t>
            </w:r>
          </w:p>
        </w:tc>
        <w:tc>
          <w:tcPr>
            <w:tcW w:type="dxa" w:w="4320"/>
          </w:tcPr>
          <w:p>
            <w:r>
              <w:t>docker compose up dashboard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