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Capital Financing — Apollo Targeting Filters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Cold Email List-Building Criteria · Prepared by Eikko · August 11, 2026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These are the Apollo search filters for building the initial prospect list across the 3 target industries confirmed on the kick-off call: trades, logistics, and labour hire. Filters are built against the qualifying criteria in the client profile (active ABN, 6+ months trading, some online presence, preferably GST registered, $6k+/month turnover, decision-maker = owner or accounts/accountant contact).</w:t>
      </w:r>
    </w:p>
    <w:p>
      <w:pPr>
        <w:pStyle w:val="Heading1"/>
        <w:spacing w:after="150" w:before="300"/>
      </w:pPr>
      <w:r>
        <w:t xml:space="preserve">Industry Filters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4700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Industry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Apollo Industry / Keyword Filters</w:t>
            </w:r>
          </w:p>
        </w:tc>
        <w:tc>
          <w:tcPr>
            <w:tcW w:type="dxa" w:w="47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Trades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Construction; Building Materials; Electrical/Electrical Manufacturing; Plumbing; Civil Engineering; Building &amp; Construction (keyword search: "electrician", "plumber", "builder", "carpentry", "construction")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Cast a wide net across trade sub-categories — Apollo's industry taxonomy splits trades finely, so combine industry filter with keyword search on company name/description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Logistics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Transportation/Trucking/Railroad; Logistics &amp; Supply Chain; Warehousing; Freight &amp; Package Transportation (keyword search: "freight", "haulage", "trucking", "logistics")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Include owner-operators and small fleets, not just large freight companies — smaller logistics ops feel the cash-flow gap hardest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Labour hire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Staffing &amp; Recruiting; Human Resources (keyword search: "labour hire", "labor hire", "workforce solutions", "staffing agency")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Target labour hire firms supplying trades/industrial/logistics staff specifically, not white-collar recruiters — closer fit to the pain point</w:t>
            </w:r>
          </w:p>
        </w:tc>
      </w:tr>
    </w:tbl>
    <w:p>
      <w:pPr>
        <w:pStyle w:val="Heading1"/>
        <w:spacing w:after="150" w:before="300"/>
      </w:pPr>
      <w:r>
        <w:t xml:space="preserve">Qualifying Criteria → Apollo Filters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40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Apollo Filter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 Notes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Country = Australia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three industries are AU-based per client scope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Job title (decision-maker)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Titles: Owner, Director, Managing Director, Founder, Co-Founder, General Manager, Office Manager, Accounts Manager, Accountant, Finance Manager, Bookkeeper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Owner/Director for smaller trades &amp; logistics operators; Accounts/Finance titles for mid-sized labour hire firms where an accounts person handles finance decisions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Company size / turnover proxy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Employees: 1–50 (small business range); Revenue: est. $75k+ annual (proxy for $6k+/month turnover) where Apollo revenue data is available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Apollo doesn't expose monthly turnover directly — employee count + revenue estimate is the closest proxy; manually spot-check borderline accounts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Time trading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Company founded date: 6+ months prior to list-pull date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Filters out brand-new ABNs with no trading history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Online presence / legitimacy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Has LinkedIn company page AND/OR website domain populated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Confirms the business is real and reachable — matches the qualifying criteria's "some online presence" requirement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ABN active / GST registered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directly filterable in Apollo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Manual/secondary check — cross-reference ABN Lookup (abr.business.gov.au) on a sample basis before each send wave, or note as a data-quality caveat if verifying every lead isn't feasible at volume</w:t>
            </w:r>
          </w:p>
        </w:tc>
      </w:tr>
    </w:tbl>
    <w:p>
      <w:pPr>
        <w:pStyle w:val="Heading1"/>
        <w:spacing w:after="150" w:before="300"/>
      </w:pPr>
      <w:r>
        <w:t xml:space="preserve">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Pull 3 separate lists (one per industry) so sequence copy and reporting can be segmented per the client's core industries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Apply the job title + location + employee/revenue filters at the search stage, then 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Spot-check a ~10% sample per list against ABN Lookup for active ABN + GST status before the first send wave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Exclude the 4 named competitors' domains from any list pulls: starttonfinance.com.au, keyfactors.com.au, lendingconnect.com.au, valiantfinance.com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Target initial list size: enough for a controlled first send wave per industry — recommend starting at 150–250 contacts per industry to validate deliverability and messaging before scaling</w:t>
      </w:r>
    </w:p>
    <w:p>
      <w:pPr>
        <w:pStyle w:val="Heading1"/>
        <w:spacing w:after="150" w:before="300"/>
      </w:pPr>
      <w:r>
        <w:t xml:space="preserve">Status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Ready to execute once Instantly/Apollo account access is handed over Monday, per Ally's timeline in the kick-off email.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2026-08-11T10:01:43.293Z</dcterms:created>
  <dcterms:modified xsi:type="dcterms:W3CDTF">2026-08-11T10:01:43.296Z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