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Satlas — Cold Email Case Study Portfolio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Prepared for Tre's sales conversations · Compiled by Eikko · August 17, 2026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Built from Satlas's own campaign history since these are the strongest, most comparable results we have — same market Tre is selling into (finance brokers, financial planners, commercial real estate). I also checked campaign data across our other client accounts for additional use cases; none held up as credible sales evidence (sample sizes too small, reply rates under 1%, or the work was infrastructure fixes rather than results), so they're excluded rather than padding this out with weak numbers.</w:t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2"/>
        <w:spacing w:after="100" w:before="260"/>
      </w:pPr>
      <w:r>
        <w:t xml:space="preserve">Case Study 1 — Financial Planner (Google &amp; Others segment)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Starting situation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New client vertical, cold list, no prior outbound history. Financial planners are a referral-driven market — client wanted to know if cold email could open conversations without looking like spam to a compliance-sensitive audience.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What we did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Built and segmented the list by ESP (Google &amp; Others isolated from Microsoft/Catchall/ESG to protect deliverability)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Wrote a 3-email spintax sequence built around referral-network fragility (the "2-3 accountants driving most referrals" pain point), peer-to-peer tone, never used the word "leads"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Ran plain-text only, no tracking pixels, to keep it inbox-safe for a compliance-aware audience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Timeframe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Single campaign send window, ~1,305 emails across the list.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Measurable result</w:t>
      </w:r>
    </w:p>
    <w:p>
      <w:pPr>
        <w:spacing w:after="60"/>
      </w:pPr>
      <w:r>
        <w:rPr>
          <w:b/>
          <w:bCs/>
          <w:color w:val="0F6E56"/>
          <w:sz w:val="21"/>
          <w:szCs w:val="21"/>
        </w:rPr>
        <w:t xml:space="preserve">12.28% reply rate (55 replies from 1,305 emails)</w:t>
      </w:r>
    </w:p>
    <w:p>
      <w:pPr>
        <w:spacing w:after="60"/>
      </w:pPr>
      <w:r>
        <w:rPr>
          <w:b/>
          <w:bCs/>
          <w:color w:val="0F6E56"/>
          <w:sz w:val="21"/>
          <w:szCs w:val="21"/>
        </w:rPr>
        <w:t xml:space="preserve">4 booked opportunities, $4,000 in tracked pipeline value</w:t>
      </w:r>
    </w:p>
    <w:p>
      <w:pPr>
        <w:spacing w:after="60"/>
      </w:pPr>
      <w:r>
        <w:rPr>
          <w:b/>
          <w:bCs/>
          <w:color w:val="0F6E56"/>
          <w:sz w:val="21"/>
          <w:szCs w:val="21"/>
        </w:rPr>
        <w:t xml:space="preserve">Best-performing segment across all 15 Satlas campaigns to date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Supporting evidence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Instantly Campaign Analytics Report (Aug 7, 2026) — full send/reply/opportunity breakdown available on request.</w:t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2"/>
        <w:spacing w:after="100" w:before="260"/>
      </w:pPr>
      <w:r>
        <w:t xml:space="preserve">Case Study 2 — Finance Brokers (Google &amp; Others segment)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Starting situation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Finance brokers are one of Satlas's core verticals — client wanted proof cold email could compete with the industry's usual referral-only growth model.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What we did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Segmented by ESP for deliverability, same approach as the Financial Planner build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Direct, outcome-focused copy per the finance broker tone guide — led with unpredictable deal flow, not a service pitch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3-email sequence, reply-in-thread on follow-ups to keep threads looking human, not templated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Timeframe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Single campaign send window, 335 emails sent.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Measurable result</w:t>
      </w:r>
    </w:p>
    <w:p>
      <w:pPr>
        <w:spacing w:after="60"/>
      </w:pPr>
      <w:r>
        <w:rPr>
          <w:b/>
          <w:bCs/>
          <w:color w:val="0F6E56"/>
          <w:sz w:val="21"/>
          <w:szCs w:val="21"/>
        </w:rPr>
        <w:t xml:space="preserve">6.61% reply rate (8 replies from 335 emails)</w:t>
      </w:r>
    </w:p>
    <w:p>
      <w:pPr>
        <w:spacing w:after="60"/>
      </w:pPr>
      <w:r>
        <w:rPr>
          <w:b/>
          <w:bCs/>
          <w:color w:val="0F6E56"/>
          <w:sz w:val="21"/>
          <w:szCs w:val="21"/>
        </w:rPr>
        <w:t xml:space="preserve">4 booked opportunities, $4,000 in tracked pipeline value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Supporting evidence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Instantly Campaign Analytics Report (Aug 7, 2026).</w:t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2"/>
        <w:spacing w:after="100" w:before="260"/>
      </w:pPr>
      <w:r>
        <w:t xml:space="preserve">Case Study 3 — Finance Brokers (Microsoft ESP segment)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Starting situation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Same finance broker vertical, but on Microsoft-hosted inboxes — historically the hardest ESP for cold email deliverability.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What we did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Same core sequence as the Google &amp; Others build, adjusted for Microsoft-specific sending limits and pacing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Larger volume push (1,368 emails) to test whether results held at scale, not just on a small sample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Timeframe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Single campaign, ran to completion (100%).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Measurable result</w:t>
      </w:r>
    </w:p>
    <w:p>
      <w:pPr>
        <w:spacing w:after="60"/>
      </w:pPr>
      <w:r>
        <w:rPr>
          <w:b/>
          <w:bCs/>
          <w:color w:val="0F6E56"/>
          <w:sz w:val="21"/>
          <w:szCs w:val="21"/>
        </w:rPr>
        <w:t xml:space="preserve">1.95% reply rate at 1,368 emails sent — still net-positive on Microsoft, the toughest inbox environment</w:t>
      </w:r>
    </w:p>
    <w:p>
      <w:pPr>
        <w:spacing w:after="60"/>
      </w:pPr>
      <w:r>
        <w:rPr>
          <w:b/>
          <w:bCs/>
          <w:color w:val="0F6E56"/>
          <w:sz w:val="21"/>
          <w:szCs w:val="21"/>
        </w:rPr>
        <w:t xml:space="preserve">3 booked opportunities, $3,000 in tracked pipeline value</w:t>
      </w:r>
    </w:p>
    <w:p>
      <w:pPr>
        <w:spacing w:after="60"/>
      </w:pPr>
      <w:r>
        <w:rPr>
          <w:b/>
          <w:bCs/>
          <w:color w:val="0F6E56"/>
          <w:sz w:val="21"/>
          <w:szCs w:val="21"/>
        </w:rPr>
        <w:t xml:space="preserve">Proof point that the sequence holds up at volume, not just on a curated small list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Supporting evidence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Instantly Campaign Analytics Report (Aug 7, 2026).</w:t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2"/>
        <w:spacing w:after="100" w:before="260"/>
      </w:pPr>
      <w:r>
        <w:t xml:space="preserve">Case Study 4 — Portfolio-wide proof point (all 12 live/completed campaigns)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Starting situation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Client asked for account-wide, not just best-case, numbers — the full picture across every segment run to date (Commercial Real Estate, Financial Planner, Finance Brokers, each split 4 ways by ESP).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What we did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12 campaigns run across 3 verticals, each properly ESP-segmented rather than blasted as one list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Consistent 3-email spintax framework applied across every segment for a fair like-for-like comparison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Timeframe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Cumulative, ~1-2 week ramp per campaign based on send-volume charts.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Measurable result</w:t>
      </w:r>
    </w:p>
    <w:p>
      <w:pPr>
        <w:spacing w:after="60"/>
      </w:pPr>
      <w:r>
        <w:rPr>
          <w:b/>
          <w:bCs/>
          <w:color w:val="0F6E56"/>
          <w:sz w:val="21"/>
          <w:szCs w:val="21"/>
        </w:rPr>
        <w:t xml:space="preserve">2,931 leads contacted, 7,726 emails sent</w:t>
      </w:r>
    </w:p>
    <w:p>
      <w:pPr>
        <w:spacing w:after="60"/>
      </w:pPr>
      <w:r>
        <w:rPr>
          <w:b/>
          <w:bCs/>
          <w:color w:val="0F6E56"/>
          <w:sz w:val="21"/>
          <w:szCs w:val="21"/>
        </w:rPr>
        <w:t xml:space="preserve">112 replies — 3.82% blended reply rate across every campaign, best and worst included</w:t>
      </w:r>
    </w:p>
    <w:p>
      <w:pPr>
        <w:spacing w:after="60"/>
      </w:pPr>
      <w:r>
        <w:rPr>
          <w:b/>
          <w:bCs/>
          <w:color w:val="0F6E56"/>
          <w:sz w:val="21"/>
          <w:szCs w:val="21"/>
        </w:rPr>
        <w:t xml:space="preserve">13 booked opportunities, $13,000 in tracked pipeline value</w:t>
      </w:r>
    </w:p>
    <w:p>
      <w:pPr>
        <w:spacing w:after="40" w:before="120"/>
      </w:pPr>
      <w:r>
        <w:rPr>
          <w:b/>
          <w:bCs/>
          <w:color w:val="2F5496"/>
          <w:sz w:val="20"/>
          <w:szCs w:val="20"/>
        </w:rPr>
        <w:t xml:space="preserve">Supporting evidence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Instantly Campaign Analytics Report (Aug 7, 2026) — includes per-campaign breakdown table for drill-down if a prospect wants to see a specific vertical.</w:t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1"/>
        <w:spacing w:after="150" w:before="360"/>
      </w:pPr>
      <w:r>
        <w:t xml:space="preserve">Notes for Tre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figures above are pulled directly from Satlas's own Instantly analytics export, not estimated. Case Studies 1-3 are the strongest single-segment stories (lead with these); Case Study 4 is the honest account-wide number to use if a prospect pushes on "what's your average," since it includes underperforming segments too, not just the best ones.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Two campaigns not included here (Commercial Real Estate segments) are still ramping and don't have opportunity data yet — worth revisiting this portfolio in 4-6 weeks once they've had a full cycle.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2026-08-18T04:34:31.431Z</dcterms:created>
  <dcterms:modified xsi:type="dcterms:W3CDTF">2026-08-18T04:34:31.431Z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