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b/>
          <w:color w:val="1F4E79"/>
          <w:sz w:val="28"/>
        </w:rPr>
        <w:t>JADDA SPORTS</w:t>
      </w:r>
    </w:p>
    <w:p>
      <w:pPr>
        <w:pStyle w:val="Title"/>
        <w:spacing w:before="360"/>
        <w:jc w:val="center"/>
      </w:pPr>
      <w:r>
        <w:rPr>
          <w:rFonts w:ascii="Aptos Display" w:hAnsi="Aptos Display"/>
          <w:b/>
          <w:color w:val="000000"/>
          <w:sz w:val="58"/>
        </w:rPr>
        <w:t>Manual técnico</w:t>
      </w:r>
    </w:p>
    <w:p>
      <w:pPr>
        <w:spacing w:before="160"/>
        <w:jc w:val="center"/>
      </w:pPr>
      <w:r>
        <w:rPr>
          <w:color w:val="000000"/>
          <w:sz w:val="26"/>
        </w:rPr>
        <w:t>Arquitectura, instalación y operación</w:t>
      </w:r>
    </w:p>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88"/>
        <w:gridCol w:w="6624"/>
      </w:tblGrid>
      <w:tr>
        <w:trPr>
          <w:tblHeader w:val="true"/>
        </w:trPr>
        <w:tc>
          <w:tcPr>
            <w:tcW w:type="dxa" w:w="2476"/>
            <w:vAlign w:val="center"/>
            <w:tcMar>
              <w:top w:w="115" w:type="dxa"/>
              <w:start w:w="145" w:type="dxa"/>
              <w:bottom w:w="115" w:type="dxa"/>
              <w:end w:w="145" w:type="dxa"/>
            </w:tcMar>
            <w:shd w:fill="17365D"/>
          </w:tcPr>
          <w:p>
            <w:pPr>
              <w:spacing w:after="20"/>
            </w:pPr>
            <w:r>
              <w:rPr>
                <w:rFonts w:ascii="Aptos" w:hAnsi="Aptos"/>
                <w:b/>
                <w:color w:val="FFFFFF"/>
                <w:sz w:val="19"/>
                <w:lang w:val="es-CO"/>
              </w:rPr>
              <w:t>Versión</w:t>
            </w:r>
          </w:p>
        </w:tc>
        <w:tc>
          <w:tcPr>
            <w:tcW w:type="dxa" w:w="7200"/>
            <w:vAlign w:val="center"/>
            <w:tcMar>
              <w:top w:w="115" w:type="dxa"/>
              <w:start w:w="145" w:type="dxa"/>
              <w:bottom w:w="115" w:type="dxa"/>
              <w:end w:w="145" w:type="dxa"/>
            </w:tcMar>
            <w:shd w:fill="17365D"/>
          </w:tcPr>
          <w:p>
            <w:pPr>
              <w:spacing w:after="20"/>
            </w:pPr>
            <w:r>
              <w:rPr>
                <w:rFonts w:ascii="Aptos" w:hAnsi="Aptos"/>
                <w:b/>
                <w:color w:val="FFFFFF"/>
                <w:sz w:val="19"/>
                <w:lang w:val="es-CO"/>
              </w:rPr>
              <w:t>1.0 · 30 de octubre de 2026</w:t>
            </w:r>
          </w:p>
        </w:tc>
      </w:tr>
      <w:tr>
        <w:tc>
          <w:tcPr>
            <w:tcW w:type="dxa" w:w="2476"/>
            <w:vAlign w:val="center"/>
            <w:tcMar>
              <w:top w:w="115" w:type="dxa"/>
              <w:start w:w="145" w:type="dxa"/>
              <w:bottom w:w="115" w:type="dxa"/>
              <w:end w:w="145" w:type="dxa"/>
            </w:tcMar>
            <w:shd w:fill="EAF2F8"/>
          </w:tcPr>
          <w:p>
            <w:pPr>
              <w:spacing w:after="20" w:line="259" w:lineRule="auto"/>
            </w:pPr>
            <w:r>
              <w:rPr>
                <w:rFonts w:ascii="Aptos" w:hAnsi="Aptos"/>
                <w:b/>
                <w:color w:val="000000"/>
                <w:sz w:val="19"/>
                <w:lang w:val="es-CO"/>
              </w:rPr>
              <w:t>Dirigido a</w:t>
            </w:r>
          </w:p>
        </w:tc>
        <w:tc>
          <w:tcPr>
            <w:tcW w:type="dxa" w:w="7200"/>
            <w:vAlign w:val="center"/>
            <w:tcMar>
              <w:top w:w="115" w:type="dxa"/>
              <w:start w:w="145" w:type="dxa"/>
              <w:bottom w:w="115" w:type="dxa"/>
              <w:end w:w="145" w:type="dxa"/>
            </w:tcMar>
            <w:shd w:fill="EAF2F8"/>
          </w:tcPr>
          <w:p>
            <w:pPr>
              <w:spacing w:after="20" w:line="259" w:lineRule="auto"/>
            </w:pPr>
            <w:r>
              <w:rPr>
                <w:rFonts w:ascii="Aptos" w:hAnsi="Aptos"/>
                <w:color w:val="000000"/>
                <w:sz w:val="19"/>
                <w:lang w:val="es-CO"/>
              </w:rPr>
              <w:t>Desarrolladores y administradores técnicos</w:t>
            </w:r>
          </w:p>
        </w:tc>
      </w:tr>
      <w:tr>
        <w:tc>
          <w:tcPr>
            <w:tcW w:type="dxa" w:w="2476"/>
            <w:vAlign w:val="center"/>
            <w:tcMar>
              <w:top w:w="115" w:type="dxa"/>
              <w:start w:w="145" w:type="dxa"/>
              <w:bottom w:w="115" w:type="dxa"/>
              <w:end w:w="145" w:type="dxa"/>
            </w:tcMar>
            <w:shd w:fill="FFFFFF"/>
          </w:tcPr>
          <w:p>
            <w:pPr>
              <w:spacing w:after="20" w:line="259" w:lineRule="auto"/>
            </w:pPr>
            <w:r>
              <w:rPr>
                <w:rFonts w:ascii="Aptos" w:hAnsi="Aptos"/>
                <w:b/>
                <w:color w:val="000000"/>
                <w:sz w:val="19"/>
                <w:lang w:val="es-CO"/>
              </w:rPr>
              <w:t>Aplicación</w:t>
            </w:r>
          </w:p>
        </w:tc>
        <w:tc>
          <w:tcPr>
            <w:tcW w:type="dxa" w:w="7200"/>
            <w:vAlign w:val="center"/>
            <w:tcMar>
              <w:top w:w="115" w:type="dxa"/>
              <w:start w:w="145" w:type="dxa"/>
              <w:bottom w:w="115" w:type="dxa"/>
              <w:end w:w="145" w:type="dxa"/>
            </w:tcMar>
            <w:shd w:fill="FFFFFF"/>
          </w:tcPr>
          <w:p>
            <w:pPr>
              <w:spacing w:after="20" w:line="259" w:lineRule="auto"/>
            </w:pPr>
            <w:r>
              <w:rPr>
                <w:rFonts w:ascii="Aptos" w:hAnsi="Aptos"/>
                <w:color w:val="000000"/>
                <w:sz w:val="19"/>
                <w:lang w:val="es-CO"/>
              </w:rPr>
              <w:t>Tienda deportiva JADDA SPORTS</w:t>
            </w:r>
          </w:p>
        </w:tc>
      </w:tr>
    </w:tbl>
    <w:p>
      <w:pPr>
        <w:spacing w:before="1000"/>
        <w:jc w:val="center"/>
      </w:pPr>
      <w:r>
        <w:rPr>
          <w:i/>
          <w:color w:val="000000"/>
          <w:sz w:val="18"/>
        </w:rPr>
        <w:t>Documento elaborado a partir de la documentación del proyecto.</w:t>
      </w:r>
    </w:p>
    <w:p>
      <w:r>
        <w:br w:type="page"/>
      </w:r>
    </w:p>
    <w:p>
      <w:pPr>
        <w:pStyle w:val="Heading1"/>
        <w:spacing w:after="240"/>
      </w:pPr>
      <w:r>
        <w:t>Contenido</w:t>
      </w:r>
    </w:p>
    <w:p>
      <w:pPr>
        <w:spacing w:after="60"/>
      </w:pPr>
      <w:r>
        <w:t>Introducción</w:t>
      </w:r>
    </w:p>
    <w:p>
      <w:pPr>
        <w:spacing w:after="60"/>
      </w:pPr>
      <w:r>
        <w:t>1. Alcance y descripción de la solución</w:t>
      </w:r>
    </w:p>
    <w:p>
      <w:pPr>
        <w:spacing w:after="60"/>
      </w:pPr>
      <w:r>
        <w:t>2. Plataforma y arquitectura</w:t>
      </w:r>
    </w:p>
    <w:p>
      <w:pPr>
        <w:spacing w:after="60"/>
      </w:pPr>
      <w:r>
        <w:t>3. Estructura del código fuente</w:t>
      </w:r>
    </w:p>
    <w:p>
      <w:pPr>
        <w:spacing w:after="60"/>
      </w:pPr>
      <w:r>
        <w:t>4. Procesos principales</w:t>
      </w:r>
    </w:p>
    <w:p>
      <w:pPr>
        <w:spacing w:after="60"/>
      </w:pPr>
      <w:r>
        <w:t>5. Base de datos</w:t>
      </w:r>
    </w:p>
    <w:p>
      <w:pPr>
        <w:spacing w:after="60"/>
      </w:pPr>
      <w:r>
        <w:t>6. Seguridad y administración de usuarios</w:t>
      </w:r>
    </w:p>
    <w:p>
      <w:pPr>
        <w:spacing w:after="60"/>
      </w:pPr>
      <w:r>
        <w:t>7. Instalación y configuración</w:t>
      </w:r>
    </w:p>
    <w:p>
      <w:pPr>
        <w:spacing w:after="60"/>
      </w:pPr>
      <w:r>
        <w:t>8. Operación, respaldo y solución de fallos</w:t>
      </w:r>
    </w:p>
    <w:p>
      <w:pPr>
        <w:spacing w:after="60"/>
      </w:pPr>
      <w:r>
        <w:t>9. Interfaces de la API</w:t>
      </w:r>
    </w:p>
    <w:p>
      <w:pPr>
        <w:spacing w:after="60"/>
      </w:pPr>
      <w:r>
        <w:t>10. Acuerdos de servicio y control</w:t>
      </w:r>
    </w:p>
    <w:p>
      <w:r>
        <w:br w:type="page"/>
      </w:r>
    </w:p>
    <w:p>
      <w:pPr>
        <w:pStyle w:val="Heading1"/>
      </w:pPr>
      <w:r>
        <w:t>Introducción</w:t>
      </w:r>
    </w:p>
    <w:p>
      <w:r>
        <w:t>Este documento reúne la información necesaria para instalar, comprender y mantener JADDA SPORTS. Describe la plataforma web, la aplicación móvil, la API y la base de datos, además de los procesos de arranque, seguridad y respaldo. Está dirigido a personal técnico; las capturas indicadas en negrita se deben completar con imágenes del entorno de instalación, sin incluir contraseñas, llaves ni datos personales reales.</w:t>
      </w:r>
    </w:p>
    <w:p>
      <w:pPr>
        <w:pStyle w:val="Heading1"/>
      </w:pPr>
      <w:r>
        <w:t>1. Alcance y descripción de la solución</w:t>
      </w:r>
    </w:p>
    <w:p>
      <w:r>
        <w:t>JADDA SPORTS es una plataforma de comercio deportivo que combina tienda web, aplicación móvil y panel administrativo con marketplace de vendedores, retos deportivos, cupones, planes, notificaciones, facturación y gestión postventa. La lógica de negocio central reside en un API Express conectado a MySQL.</w:t>
      </w:r>
    </w:p>
    <w:p>
      <w:pPr>
        <w:pStyle w:val="Heading1"/>
      </w:pPr>
      <w:r>
        <w:t>2. Plataforma y arquitectura</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2015"/>
            <w:vAlign w:val="center"/>
            <w:tcMar>
              <w:top w:w="115" w:type="dxa"/>
              <w:start w:w="145" w:type="dxa"/>
              <w:bottom w:w="115" w:type="dxa"/>
              <w:end w:w="145" w:type="dxa"/>
            </w:tcMar>
            <w:shd w:fill="17365D"/>
          </w:tcPr>
          <w:p>
            <w:pPr>
              <w:spacing w:after="20"/>
            </w:pPr>
            <w:r>
              <w:rPr>
                <w:rFonts w:ascii="Aptos" w:hAnsi="Aptos"/>
                <w:b/>
                <w:color w:val="FFFFFF"/>
                <w:sz w:val="19"/>
                <w:lang w:val="es-CO"/>
              </w:rPr>
              <w:t>Componente</w:t>
            </w:r>
          </w:p>
        </w:tc>
        <w:tc>
          <w:tcPr>
            <w:tcW w:type="dxa" w:w="5832"/>
            <w:vAlign w:val="center"/>
            <w:tcMar>
              <w:top w:w="115" w:type="dxa"/>
              <w:start w:w="145" w:type="dxa"/>
              <w:bottom w:w="115" w:type="dxa"/>
              <w:end w:w="145" w:type="dxa"/>
            </w:tcMar>
            <w:shd w:fill="17365D"/>
          </w:tcPr>
          <w:p>
            <w:pPr>
              <w:spacing w:after="20"/>
            </w:pPr>
            <w:r>
              <w:rPr>
                <w:rFonts w:ascii="Aptos" w:hAnsi="Aptos"/>
                <w:b/>
                <w:color w:val="FFFFFF"/>
                <w:sz w:val="19"/>
                <w:lang w:val="es-CO"/>
              </w:rPr>
              <w:t>Tecnología y responsabilidad</w:t>
            </w:r>
          </w:p>
        </w:tc>
        <w:tc>
          <w:tcPr>
            <w:tcW w:type="dxa" w:w="1828"/>
            <w:vAlign w:val="center"/>
            <w:tcMar>
              <w:top w:w="115" w:type="dxa"/>
              <w:start w:w="145" w:type="dxa"/>
              <w:bottom w:w="115" w:type="dxa"/>
              <w:end w:w="145" w:type="dxa"/>
            </w:tcMar>
            <w:shd w:fill="17365D"/>
          </w:tcPr>
          <w:p>
            <w:pPr>
              <w:spacing w:after="20"/>
            </w:pPr>
            <w:r>
              <w:rPr>
                <w:rFonts w:ascii="Aptos" w:hAnsi="Aptos"/>
                <w:b/>
                <w:color w:val="FFFFFF"/>
                <w:sz w:val="19"/>
                <w:lang w:val="es-CO"/>
              </w:rPr>
              <w:t>Puerto habitual</w:t>
            </w:r>
          </w:p>
        </w:tc>
      </w:tr>
      <w:tr>
        <w:tc>
          <w:tcPr>
            <w:tcW w:type="dxa" w:w="2015"/>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Web</w:t>
            </w:r>
          </w:p>
        </w:tc>
        <w:tc>
          <w:tcPr>
            <w:tcW w:type="dxa" w:w="5832"/>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React 19, TypeScript, Vite 5; interfaz cliente, vendedor y administrador.</w:t>
            </w:r>
          </w:p>
        </w:tc>
        <w:tc>
          <w:tcPr>
            <w:tcW w:type="dxa" w:w="1828"/>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5173</w:t>
            </w:r>
          </w:p>
        </w:tc>
      </w:tr>
      <w:tr>
        <w:tc>
          <w:tcPr>
            <w:tcW w:type="dxa" w:w="2015"/>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Móvil</w:t>
            </w:r>
          </w:p>
        </w:tc>
        <w:tc>
          <w:tcPr>
            <w:tcW w:type="dxa" w:w="5832"/>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React Native y Expo SDK 54; aplicación móvil.</w:t>
            </w:r>
          </w:p>
        </w:tc>
        <w:tc>
          <w:tcPr>
            <w:tcW w:type="dxa" w:w="1828"/>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w:t>
            </w:r>
          </w:p>
        </w:tc>
      </w:tr>
      <w:tr>
        <w:tc>
          <w:tcPr>
            <w:tcW w:type="dxa" w:w="2015"/>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API</w:t>
            </w:r>
          </w:p>
        </w:tc>
        <w:tc>
          <w:tcPr>
            <w:tcW w:type="dxa" w:w="5832"/>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Node.js 22, Express 4; autenticación, negocio e integraciones.</w:t>
            </w:r>
          </w:p>
        </w:tc>
        <w:tc>
          <w:tcPr>
            <w:tcW w:type="dxa" w:w="1828"/>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5000</w:t>
            </w:r>
          </w:p>
        </w:tc>
      </w:tr>
      <w:tr>
        <w:tc>
          <w:tcPr>
            <w:tcW w:type="dxa" w:w="2015"/>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Base de datos</w:t>
            </w:r>
          </w:p>
        </w:tc>
        <w:tc>
          <w:tcPr>
            <w:tcW w:type="dxa" w:w="5832"/>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MySQL 8.0; persistencia y sesiones.</w:t>
            </w:r>
          </w:p>
        </w:tc>
        <w:tc>
          <w:tcPr>
            <w:tcW w:type="dxa" w:w="1828"/>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3306</w:t>
            </w:r>
          </w:p>
        </w:tc>
      </w:tr>
      <w:tr>
        <w:tc>
          <w:tcPr>
            <w:tcW w:type="dxa" w:w="2015"/>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Contenedores</w:t>
            </w:r>
          </w:p>
        </w:tc>
        <w:tc>
          <w:tcPr>
            <w:tcW w:type="dxa" w:w="5832"/>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Docker Compose; servicios jadda_mysql, jadda_backend y jadda_frontend.</w:t>
            </w:r>
          </w:p>
        </w:tc>
        <w:tc>
          <w:tcPr>
            <w:tcW w:type="dxa" w:w="1828"/>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Según mapeo</w:t>
            </w:r>
          </w:p>
        </w:tc>
      </w:tr>
    </w:tbl>
    <w:p/>
    <w:p>
      <w:r>
        <w:t>La autenticación web utiliza sesiones de servidor con cookie httpOnly y Passport, no JWT. El frontend se comunica con la API mediante las rutas /api; Vite configura el proxy para desarrollo y preview. Los archivos multimedia se guardan en Cloudinary cuando existe configuración válida; en caso contrario, el backend usa almacenamiento local.</w:t>
      </w:r>
    </w:p>
    <w:p>
      <w:pPr>
        <w:pStyle w:val="Heading1"/>
      </w:pPr>
      <w:r>
        <w:t>3. Estructura del código fuente</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2476"/>
            <w:vAlign w:val="center"/>
            <w:tcMar>
              <w:top w:w="115" w:type="dxa"/>
              <w:start w:w="145" w:type="dxa"/>
              <w:bottom w:w="115" w:type="dxa"/>
              <w:end w:w="145" w:type="dxa"/>
            </w:tcMar>
            <w:shd w:fill="17365D"/>
          </w:tcPr>
          <w:p>
            <w:pPr>
              <w:spacing w:after="20"/>
            </w:pPr>
            <w:r>
              <w:rPr>
                <w:rFonts w:ascii="Aptos" w:hAnsi="Aptos"/>
                <w:b/>
                <w:color w:val="FFFFFF"/>
                <w:sz w:val="19"/>
                <w:lang w:val="es-CO"/>
              </w:rPr>
              <w:t>Ruta</w:t>
            </w:r>
          </w:p>
        </w:tc>
        <w:tc>
          <w:tcPr>
            <w:tcW w:type="dxa" w:w="7200"/>
            <w:vAlign w:val="center"/>
            <w:tcMar>
              <w:top w:w="115" w:type="dxa"/>
              <w:start w:w="145" w:type="dxa"/>
              <w:bottom w:w="115" w:type="dxa"/>
              <w:end w:w="145" w:type="dxa"/>
            </w:tcMar>
            <w:shd w:fill="17365D"/>
          </w:tcPr>
          <w:p>
            <w:pPr>
              <w:spacing w:after="20"/>
            </w:pPr>
            <w:r>
              <w:rPr>
                <w:rFonts w:ascii="Aptos" w:hAnsi="Aptos"/>
                <w:b/>
                <w:color w:val="FFFFFF"/>
                <w:sz w:val="19"/>
                <w:lang w:val="es-CO"/>
              </w:rPr>
              <w:t>Responsabilidad</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backend/controllers y routes</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Controladores por dominio y definición de endpoints.</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backend/middlewares</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Sesión, autorización por rol, limitación de solicitudes y validaciones.</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backend/database/setup.js</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Fuente de verdad para creación de tablas, migraciones idempotentes y semillas.</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backend/database/schema.sql</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Esquema exportado para consulta o instalación de base nueva.</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backend/utils</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Reglas compartidas, archivos, correo, pagos y operaciones de soporte.</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frontend/src</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Páginas, componentes, contextos y estilos de la web.</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movil/app</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Pantallas y navegación de Expo Router.</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docs</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Requisitos funcionales, historias, diagramas, implantación y manuales.</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scripts</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Respaldo, restauración, SQL y utilidades de operación.</w:t>
            </w:r>
          </w:p>
        </w:tc>
      </w:tr>
    </w:tbl>
    <w:p/>
    <w:p>
      <w:r>
        <w:t>La exportación del esquema se regenera desde el proyecto con node backend/database/exportarSchema.js. Los cambios de estructura se implementan en setup.js y su lista de migraciones para conservar la instalación automática e idempotente.</w:t>
      </w:r>
    </w:p>
    <w:p>
      <w:pPr>
        <w:pStyle w:val="Heading1"/>
      </w:pPr>
      <w:r>
        <w:t>4. Procesos principales</w:t>
      </w:r>
    </w:p>
    <w:p>
      <w:pPr>
        <w:pStyle w:val="Heading2"/>
      </w:pPr>
      <w:r>
        <w:t>4.1 Compra y pago</w:t>
      </w:r>
    </w:p>
    <w:p>
      <w:pPr>
        <w:pStyle w:val="ListNumber"/>
        <w:keepNext/>
        <w:spacing w:after="100"/>
        <w:ind w:left="432" w:hanging="259"/>
      </w:pPr>
      <w:r>
        <w:t>El cliente agrega variantes al carrito y solicita checkout.</w:t>
      </w:r>
    </w:p>
    <w:p>
      <w:pPr>
        <w:pStyle w:val="Captura"/>
        <w:keepNext/>
        <w:spacing w:before="80" w:after="0"/>
        <w:ind w:left="259"/>
      </w:pPr>
      <w:r>
        <w:rPr>
          <w:rFonts w:ascii="Aptos" w:hAnsi="Aptos"/>
          <w:b/>
          <w:color w:val="B42318"/>
          <w:sz w:val="19"/>
          <w:lang w:val="es-CO"/>
        </w:rPr>
        <w:t>**CAPTURA 01 · Paso 1: Mostrar la pantalla resultante de «El cliente agrega variantes al carrito y solicita checkout.»**</w:t>
      </w:r>
    </w:p>
    <w:p>
      <w:pPr>
        <w:keepLines/>
        <w:widowControl w:val="0"/>
        <w:spacing w:line="2240" w:lineRule="exact" w:after="0"/>
      </w:pPr>
    </w:p>
    <w:p>
      <w:pPr>
        <w:pStyle w:val="ListNumber"/>
        <w:keepNext/>
        <w:spacing w:after="100"/>
        <w:ind w:left="432" w:hanging="259"/>
      </w:pPr>
      <w:r>
        <w:t>El servidor valida stock, recalcula totales y valida cupones antes de crear la venta.</w:t>
      </w:r>
    </w:p>
    <w:p>
      <w:pPr>
        <w:pStyle w:val="Captura"/>
        <w:keepNext/>
        <w:spacing w:before="80" w:after="0"/>
        <w:ind w:left="259"/>
      </w:pPr>
      <w:r>
        <w:rPr>
          <w:rFonts w:ascii="Aptos" w:hAnsi="Aptos"/>
          <w:b/>
          <w:color w:val="B42318"/>
          <w:sz w:val="19"/>
          <w:lang w:val="es-CO"/>
        </w:rPr>
        <w:t>**CAPTURA 02 · Paso 2: Mostrar la pantalla resultante de «El servidor valida stock, recalcula totales y valida cupones antes de crear la venta.»**</w:t>
      </w:r>
    </w:p>
    <w:p>
      <w:pPr>
        <w:keepLines/>
        <w:widowControl w:val="0"/>
        <w:spacing w:line="2240" w:lineRule="exact" w:after="0"/>
      </w:pPr>
    </w:p>
    <w:p>
      <w:pPr>
        <w:pStyle w:val="ListNumber"/>
        <w:keepNext/>
        <w:spacing w:after="100"/>
        <w:ind w:left="432" w:hanging="259"/>
      </w:pPr>
      <w:r>
        <w:t>La transacción registra detalles, descuenta inventario y crea movimientos de stock y datos de envío.</w:t>
      </w:r>
    </w:p>
    <w:p>
      <w:pPr>
        <w:pStyle w:val="Captura"/>
        <w:keepNext/>
        <w:spacing w:before="80" w:after="0"/>
        <w:ind w:left="259"/>
      </w:pPr>
      <w:r>
        <w:rPr>
          <w:rFonts w:ascii="Aptos" w:hAnsi="Aptos"/>
          <w:b/>
          <w:color w:val="B42318"/>
          <w:sz w:val="19"/>
          <w:lang w:val="es-CO"/>
        </w:rPr>
        <w:t>**CAPTURA 03 · Paso 3: Mostrar la pantalla resultante de «La transacción registra detalles, descuenta inventario y crea movimientos de stock y datos de envío.»** Evita mostrar datos personales, contraseñas o información de pago.</w:t>
      </w:r>
    </w:p>
    <w:p>
      <w:pPr>
        <w:keepLines/>
        <w:widowControl w:val="0"/>
        <w:spacing w:line="2240" w:lineRule="exact" w:after="0"/>
      </w:pPr>
    </w:p>
    <w:p>
      <w:pPr>
        <w:pStyle w:val="ListNumber"/>
        <w:keepNext/>
        <w:spacing w:after="100"/>
        <w:ind w:left="432" w:hanging="259"/>
      </w:pPr>
      <w:r>
        <w:t>Con Wompi configurado, la venta espera confirmación; el estado se actualiza por consulta o webhook validado. Sin pasarela activa, la compra conserva el comportamiento de venta completada.</w:t>
      </w:r>
    </w:p>
    <w:p>
      <w:pPr>
        <w:pStyle w:val="Captura"/>
        <w:keepNext/>
        <w:spacing w:before="80" w:after="0"/>
        <w:ind w:left="259"/>
      </w:pPr>
      <w:r>
        <w:rPr>
          <w:rFonts w:ascii="Aptos" w:hAnsi="Aptos"/>
          <w:b/>
          <w:color w:val="B42318"/>
          <w:sz w:val="19"/>
          <w:lang w:val="es-CO"/>
        </w:rPr>
        <w:t>**CAPTURA 04 · Paso 4: Mostrar la pantalla resultante de «Con Wompi configurado, la venta espera confirmación; el estado se actualiza por consulta o webhook…»**</w:t>
      </w:r>
    </w:p>
    <w:p>
      <w:pPr>
        <w:keepLines/>
        <w:widowControl w:val="0"/>
        <w:spacing w:line="2240" w:lineRule="exact" w:after="0"/>
      </w:pPr>
    </w:p>
    <w:p>
      <w:pPr>
        <w:pStyle w:val="ListNumber"/>
        <w:keepNext/>
        <w:spacing w:after="100"/>
        <w:ind w:left="432" w:hanging="259"/>
      </w:pPr>
      <w:r>
        <w:t>Los pedidos sin pagar que superan 48 horas se cancelan mediante el proceso de expiración y el stock se restituye.</w:t>
      </w:r>
    </w:p>
    <w:p>
      <w:pPr>
        <w:pStyle w:val="Captura"/>
        <w:keepNext/>
        <w:spacing w:before="80" w:after="0"/>
        <w:ind w:left="259"/>
      </w:pPr>
      <w:r>
        <w:rPr>
          <w:rFonts w:ascii="Aptos" w:hAnsi="Aptos"/>
          <w:b/>
          <w:color w:val="B42318"/>
          <w:sz w:val="19"/>
          <w:lang w:val="es-CO"/>
        </w:rPr>
        <w:t>**CAPTURA 05 · Paso 5: Mostrar la pantalla resultante de «Los pedidos sin pagar que superan 48 horas se cancelan mediante el proceso de expiración y el stock se…»**</w:t>
      </w:r>
    </w:p>
    <w:p>
      <w:pPr>
        <w:keepLines/>
        <w:widowControl w:val="0"/>
        <w:spacing w:line="2240" w:lineRule="exact" w:after="0"/>
      </w:pPr>
    </w:p>
    <w:p>
      <w:pPr>
        <w:pStyle w:val="Heading2"/>
      </w:pPr>
      <w:r>
        <w:t>4.2 Entrega y postventa</w:t>
      </w:r>
    </w:p>
    <w:p>
      <w:r>
        <w:t>El estado del envío determina las acciones disponibles. Las solicitudes post-entrega se habilitan durante los tres días posteriores a la entrega. El reembolso sin devolución aplica a producto defectuoso o diferente a la descripción; el cambio de opinión se tramita como devolución. En una cancelación pagada antes del despacho se registra reembolso automático de productos y costo de envío. El envío no se reembolsa en solicitudes post-entrega. El registro de reembolso no ejecuta una reversión financiera en Wompi: esa gestión debe completarse desde el proveedor de pago.</w:t>
      </w:r>
    </w:p>
    <w:p>
      <w:pPr>
        <w:pStyle w:val="Heading2"/>
      </w:pPr>
      <w:r>
        <w:t>4.3 Retos</w:t>
      </w:r>
    </w:p>
    <w:p>
      <w:r>
        <w:t>El usuario puede tener hasta tres retos activos. Los avances con evidencias quedan disponibles para revisión administrativa; la aprobación de la meta genera un cupón de un uso. Las evidencias de retos y devoluciones permiten hasta cinco archivos de 25 MB cada uno.</w:t>
      </w:r>
    </w:p>
    <w:p>
      <w:pPr>
        <w:pStyle w:val="Heading1"/>
      </w:pPr>
      <w:r>
        <w:t>5. Base de datos</w:t>
      </w:r>
    </w:p>
    <w:p>
      <w:r>
        <w:t>El modelo relacional está documentado en backend/database/schema.sql y en docs/diagrams. Los dominios abarcan acceso, catálogo, ventas, postventa, gamificación, marketplace y comunicación. La definición vigente se obtiene de setup.js; el archivo schema.sql es la exportación de referencia.</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2476"/>
            <w:vAlign w:val="center"/>
            <w:tcMar>
              <w:top w:w="115" w:type="dxa"/>
              <w:start w:w="145" w:type="dxa"/>
              <w:bottom w:w="115" w:type="dxa"/>
              <w:end w:w="145" w:type="dxa"/>
            </w:tcMar>
            <w:shd w:fill="17365D"/>
          </w:tcPr>
          <w:p>
            <w:pPr>
              <w:spacing w:after="20"/>
            </w:pPr>
            <w:r>
              <w:rPr>
                <w:rFonts w:ascii="Aptos" w:hAnsi="Aptos"/>
                <w:b/>
                <w:color w:val="FFFFFF"/>
                <w:sz w:val="19"/>
                <w:lang w:val="es-CO"/>
              </w:rPr>
              <w:t>Dominio</w:t>
            </w:r>
          </w:p>
        </w:tc>
        <w:tc>
          <w:tcPr>
            <w:tcW w:type="dxa" w:w="7200"/>
            <w:vAlign w:val="center"/>
            <w:tcMar>
              <w:top w:w="115" w:type="dxa"/>
              <w:start w:w="145" w:type="dxa"/>
              <w:bottom w:w="115" w:type="dxa"/>
              <w:end w:w="145" w:type="dxa"/>
            </w:tcMar>
            <w:shd w:fill="17365D"/>
          </w:tcPr>
          <w:p>
            <w:pPr>
              <w:spacing w:after="20"/>
            </w:pPr>
            <w:r>
              <w:rPr>
                <w:rFonts w:ascii="Aptos" w:hAnsi="Aptos"/>
                <w:b/>
                <w:color w:val="FFFFFF"/>
                <w:sz w:val="19"/>
                <w:lang w:val="es-CO"/>
              </w:rPr>
              <w:t>Entidades representativas</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Acceso</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USUARIOS, ROLES, DIRECCIONES, sesiones</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Catálogo</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PRODUCTOS, PRODUCTO_VARIANTES, PRODUCTO_IMAGENES, CATEGORIAS, RESEÑAS</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Ventas</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CARRITO, VENTAS, DETALLE_VENTAS, ENVIOS, MOVIMIENTOS_STOCK, PAGOS_EVENTOS</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Postventa</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DEVOLUCIONES, DEVOLUCIONES_EVIDENCIAS</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Retos</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RETOS, RETOS_USUARIOS, RETO_EVIDENCIAS, DESCUENTOS</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Marketplace y comunicación</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VENDEDORES, SOLICITUDES_VENDEDOR, CHAT, CHAT_MENSAJE, NOTIFICACIONES, PQR</w:t>
            </w:r>
          </w:p>
        </w:tc>
      </w:tr>
    </w:tbl>
    <w:p/>
    <w:p>
      <w:pPr>
        <w:pStyle w:val="Heading1"/>
      </w:pPr>
      <w:r>
        <w:t>6. Seguridad y administración de usuarios</w:t>
      </w:r>
    </w:p>
    <w:p>
      <w:pPr>
        <w:pStyle w:val="ListBullet"/>
        <w:spacing w:after="80"/>
        <w:ind w:left="346" w:hanging="173"/>
      </w:pPr>
      <w:r>
        <w:t>Contraseñas almacenadas con bcrypt; sesiones de servidor en cookie httpOnly.</w:t>
      </w:r>
    </w:p>
    <w:p>
      <w:pPr>
        <w:pStyle w:val="ListBullet"/>
        <w:spacing w:after="80"/>
        <w:ind w:left="346" w:hanging="173"/>
      </w:pPr>
      <w:r>
        <w:t>Autorización por roles mediante middleware: administrador (rol 1) y vendedor (rol 6), además de sesión de cliente.</w:t>
      </w:r>
    </w:p>
    <w:p>
      <w:pPr>
        <w:pStyle w:val="ListBullet"/>
        <w:spacing w:after="80"/>
        <w:ind w:left="346" w:hanging="173"/>
      </w:pPr>
      <w:r>
        <w:t>Límites de solicitudes por IP y validación de origen en operaciones mutables.</w:t>
      </w:r>
    </w:p>
    <w:p>
      <w:pPr>
        <w:pStyle w:val="ListBullet"/>
        <w:spacing w:after="80"/>
        <w:ind w:left="346" w:hanging="173"/>
      </w:pPr>
      <w:r>
        <w:t>El servidor recalcula importes y verifica inventario, cupones y datos de entrada.</w:t>
      </w:r>
    </w:p>
    <w:p>
      <w:pPr>
        <w:pStyle w:val="ListBullet"/>
        <w:spacing w:after="80"/>
        <w:ind w:left="346" w:hanging="173"/>
      </w:pPr>
      <w:r>
        <w:t>No se deben versionar archivos .env, secretos, contraseñas, respaldos ni llaves de proveedores.</w:t>
      </w:r>
    </w:p>
    <w:p>
      <w:pPr>
        <w:pStyle w:val="ListBullet"/>
        <w:spacing w:after="80"/>
        <w:ind w:left="346" w:hanging="173"/>
      </w:pPr>
      <w:r>
        <w:t>En producción, separar credenciales de migración y operación siguiendo docs/implantacion/04-despliegue-produccion.md.</w:t>
      </w:r>
    </w:p>
    <w:p>
      <w:r>
        <w:t>La cuenta administrativa se inicializa mediante ADMIN_EMAIL y ADMIN_PASSWORD. No existen credenciales fijas que deban copiarse desde este manual. Las contraseñas temporales de nuevas cuentas deben cambiarse en el primer ingreso cuando el sistema lo solicite.</w:t>
      </w:r>
    </w:p>
    <w:p>
      <w:pPr>
        <w:pStyle w:val="Heading1"/>
      </w:pPr>
      <w:r>
        <w:t>7. Instalación y configuración</w:t>
      </w:r>
    </w:p>
    <w:p>
      <w:pPr>
        <w:pStyle w:val="Heading2"/>
      </w:pPr>
      <w:r>
        <w:t>7.1 Requisitos</w:t>
      </w:r>
    </w:p>
    <w:p>
      <w:pPr>
        <w:pStyle w:val="ListBullet"/>
        <w:spacing w:after="80"/>
        <w:ind w:left="346" w:hanging="173"/>
      </w:pPr>
      <w:r>
        <w:t>Windows 10/11 de 64 bits con Docker Desktop instalado, en ejecución y con WSL2.</w:t>
      </w:r>
    </w:p>
    <w:p>
      <w:pPr>
        <w:pStyle w:val="ListBullet"/>
        <w:spacing w:after="80"/>
        <w:ind w:left="346" w:hanging="173"/>
      </w:pPr>
      <w:r>
        <w:t>Se recomiendan 8 GB de RAM y 20 GB libres.</w:t>
      </w:r>
    </w:p>
    <w:p>
      <w:pPr>
        <w:pStyle w:val="ListBullet"/>
        <w:spacing w:after="80"/>
        <w:ind w:left="346" w:hanging="173"/>
      </w:pPr>
      <w:r>
        <w:t>Puertos 3306, 5000 y 5173 disponibles, salvo que se modifiquen los mapeos.</w:t>
      </w:r>
    </w:p>
    <w:p>
      <w:pPr>
        <w:pStyle w:val="ListBullet"/>
        <w:spacing w:after="80"/>
        <w:ind w:left="346" w:hanging="173"/>
      </w:pPr>
      <w:r>
        <w:t>El equipo debe poder descargar las imágenes y dependencias iniciales.</w:t>
      </w:r>
    </w:p>
    <w:p>
      <w:pPr>
        <w:pStyle w:val="Heading2"/>
      </w:pPr>
      <w:r>
        <w:t>7.2 Preparar variables de entorno</w:t>
      </w:r>
    </w:p>
    <w:p>
      <w:pPr>
        <w:pStyle w:val="ListNumber"/>
        <w:keepNext/>
        <w:spacing w:after="100"/>
        <w:ind w:left="432" w:hanging="259"/>
      </w:pPr>
      <w:r>
        <w:t>Obtenga el proyecto en una carpeta local.</w:t>
      </w:r>
    </w:p>
    <w:p>
      <w:pPr>
        <w:pStyle w:val="Captura"/>
        <w:keepNext/>
        <w:spacing w:before="80" w:after="0"/>
        <w:ind w:left="259"/>
      </w:pPr>
      <w:r>
        <w:rPr>
          <w:rFonts w:ascii="Aptos" w:hAnsi="Aptos"/>
          <w:b/>
          <w:color w:val="B42318"/>
          <w:sz w:val="19"/>
          <w:lang w:val="es-CO"/>
        </w:rPr>
        <w:t>**CAPTURA 06 · Paso 1: Mostrar la pantalla resultante de «Obtenga el proyecto en una carpeta local.»**</w:t>
      </w:r>
    </w:p>
    <w:p>
      <w:pPr>
        <w:keepLines/>
        <w:widowControl w:val="0"/>
        <w:spacing w:line="2240" w:lineRule="exact" w:after="0"/>
      </w:pPr>
    </w:p>
    <w:p>
      <w:pPr>
        <w:pStyle w:val="ListNumber"/>
        <w:keepNext/>
        <w:spacing w:after="100"/>
        <w:ind w:left="432" w:hanging="259"/>
      </w:pPr>
      <w:r>
        <w:t>Cree el .env raíz con MYSQL_ROOT_PASSWORD y DB_PASSWORD; ambas deben coincidir en el compose de desarrollo.</w:t>
      </w:r>
    </w:p>
    <w:p>
      <w:pPr>
        <w:pStyle w:val="Captura"/>
        <w:keepNext/>
        <w:spacing w:before="80" w:after="0"/>
        <w:ind w:left="259"/>
      </w:pPr>
      <w:r>
        <w:rPr>
          <w:rFonts w:ascii="Aptos" w:hAnsi="Aptos"/>
          <w:b/>
          <w:color w:val="B42318"/>
          <w:sz w:val="19"/>
          <w:lang w:val="es-CO"/>
        </w:rPr>
        <w:t>**CAPTURA 07 · Paso 2: Mostrar la pantalla resultante de «Cree el .env raíz con MYSQL_ROOT_PASSWORD y DB_PASSWORD; ambas deben coincidir en el compose de desarrollo.»**</w:t>
      </w:r>
    </w:p>
    <w:p>
      <w:pPr>
        <w:keepLines/>
        <w:widowControl w:val="0"/>
        <w:spacing w:line="2240" w:lineRule="exact" w:after="0"/>
      </w:pPr>
    </w:p>
    <w:p>
      <w:pPr>
        <w:pStyle w:val="ListNumber"/>
        <w:keepNext/>
        <w:spacing w:after="100"/>
        <w:ind w:left="432" w:hanging="259"/>
      </w:pPr>
      <w:r>
        <w:t>Copie backend/.env.example a backend/.env y configure al menos SESSION_SECRET, ADMIN_EMAIL, ADMIN_PASSWORD, EMAIL_USER, EMAIL_PASS y FRONTEND_URL.</w:t>
      </w:r>
    </w:p>
    <w:p>
      <w:pPr>
        <w:pStyle w:val="Captura"/>
        <w:keepNext/>
        <w:spacing w:before="80" w:after="0"/>
        <w:ind w:left="259"/>
      </w:pPr>
      <w:r>
        <w:rPr>
          <w:rFonts w:ascii="Aptos" w:hAnsi="Aptos"/>
          <w:b/>
          <w:color w:val="B42318"/>
          <w:sz w:val="19"/>
          <w:lang w:val="es-CO"/>
        </w:rPr>
        <w:t>**CAPTURA 08 · Paso 3: Mostrar la pantalla resultante de «Copie backend/.env.example a backend/.env y configure al menos SESSION_SECRET, ADMIN_EMAIL,…»**</w:t>
      </w:r>
    </w:p>
    <w:p>
      <w:pPr>
        <w:keepLines/>
        <w:widowControl w:val="0"/>
        <w:spacing w:line="2240" w:lineRule="exact" w:after="0"/>
      </w:pPr>
    </w:p>
    <w:p>
      <w:pPr>
        <w:pStyle w:val="ListNumber"/>
        <w:keepNext/>
        <w:spacing w:after="100"/>
        <w:ind w:left="432" w:hanging="259"/>
      </w:pPr>
      <w:r>
        <w:t>Configure CLOUDINARY_URL si utilizará almacenamiento externo. Configure PAYMENT_GATEWAY y las variables WOMPI requeridas solo si habilitará esa pasarela.</w:t>
      </w:r>
    </w:p>
    <w:p>
      <w:pPr>
        <w:pStyle w:val="Captura"/>
        <w:keepNext/>
        <w:spacing w:before="80" w:after="0"/>
        <w:ind w:left="259"/>
      </w:pPr>
      <w:r>
        <w:rPr>
          <w:rFonts w:ascii="Aptos" w:hAnsi="Aptos"/>
          <w:b/>
          <w:color w:val="B42318"/>
          <w:sz w:val="19"/>
          <w:lang w:val="es-CO"/>
        </w:rPr>
        <w:t>**CAPTURA 09 · Paso 4: Mostrar la pantalla resultante de «Configure CLOUDINARY_URL si utilizará almacenamiento externo. Configure PAYMENT_GATEWAY y las variables…»**</w:t>
      </w:r>
    </w:p>
    <w:p>
      <w:pPr>
        <w:keepLines/>
        <w:widowControl w:val="0"/>
        <w:spacing w:line="2240" w:lineRule="exact" w:after="0"/>
      </w:pPr>
    </w:p>
    <w:p>
      <w:pPr>
        <w:pStyle w:val="ListNumber"/>
        <w:keepNext/>
        <w:spacing w:after="100"/>
        <w:ind w:left="432" w:hanging="259"/>
      </w:pPr>
      <w:r>
        <w:t>No copie secretos en capturas ni almacene estos archivos en el control de versiones.</w:t>
      </w:r>
    </w:p>
    <w:p>
      <w:pPr>
        <w:pStyle w:val="Captura"/>
        <w:keepNext/>
        <w:spacing w:before="80" w:after="0"/>
        <w:ind w:left="259"/>
      </w:pPr>
      <w:r>
        <w:rPr>
          <w:rFonts w:ascii="Aptos" w:hAnsi="Aptos"/>
          <w:b/>
          <w:color w:val="B42318"/>
          <w:sz w:val="19"/>
          <w:lang w:val="es-CO"/>
        </w:rPr>
        <w:t>**CAPTURA 10 · Paso 5: Mostrar la pantalla resultante de «No copie secretos en capturas ni almacene estos archivos en el control de versiones.»** Evita mostrar datos personales, contraseñas o información de pago.</w:t>
      </w:r>
    </w:p>
    <w:p>
      <w:pPr>
        <w:keepLines/>
        <w:widowControl w:val="0"/>
        <w:spacing w:line="2240" w:lineRule="exact" w:after="0"/>
      </w:pPr>
    </w:p>
    <w:p>
      <w:pPr>
        <w:pStyle w:val="Heading2"/>
      </w:pPr>
      <w:r>
        <w:t>7.3 Arrancar y validar</w:t>
      </w:r>
    </w:p>
    <w:p>
      <w:pPr>
        <w:pStyle w:val="ListNumber"/>
        <w:keepNext/>
        <w:spacing w:after="100"/>
        <w:ind w:left="432" w:hanging="259"/>
      </w:pPr>
      <w:r>
        <w:t>Abra PowerShell en la raíz del repositorio.</w:t>
      </w:r>
    </w:p>
    <w:p>
      <w:pPr>
        <w:pStyle w:val="Captura"/>
        <w:keepNext/>
        <w:spacing w:before="80" w:after="0"/>
        <w:ind w:left="259"/>
      </w:pPr>
      <w:r>
        <w:rPr>
          <w:rFonts w:ascii="Aptos" w:hAnsi="Aptos"/>
          <w:b/>
          <w:color w:val="B42318"/>
          <w:sz w:val="19"/>
          <w:lang w:val="es-CO"/>
        </w:rPr>
        <w:t>**CAPTURA 11 · Paso 1: Mostrar la pantalla resultante de «Abra PowerShell en la raíz del repositorio.»**</w:t>
      </w:r>
    </w:p>
    <w:p>
      <w:pPr>
        <w:keepLines/>
        <w:widowControl w:val="0"/>
        <w:spacing w:line="2240" w:lineRule="exact" w:after="0"/>
      </w:pPr>
    </w:p>
    <w:p>
      <w:pPr>
        <w:pStyle w:val="ListNumber"/>
        <w:keepNext/>
        <w:spacing w:after="100"/>
        <w:ind w:left="432" w:hanging="259"/>
      </w:pPr>
      <w:r>
        <w:t>Ejecute docker compose up -d --build. En la primera ejecución Docker descargará imágenes y construirá servicios.</w:t>
      </w:r>
    </w:p>
    <w:p>
      <w:pPr>
        <w:pStyle w:val="Captura"/>
        <w:keepNext/>
        <w:spacing w:before="80" w:after="0"/>
        <w:ind w:left="259"/>
      </w:pPr>
      <w:r>
        <w:rPr>
          <w:rFonts w:ascii="Aptos" w:hAnsi="Aptos"/>
          <w:b/>
          <w:color w:val="B42318"/>
          <w:sz w:val="19"/>
          <w:lang w:val="es-CO"/>
        </w:rPr>
        <w:t>**CAPTURA 12 · Paso 2: Mostrar la pantalla resultante de «Ejecute docker compose up -d --build. En la primera ejecución Docker descargará imágenes y construirá…»**</w:t>
      </w:r>
    </w:p>
    <w:p>
      <w:pPr>
        <w:keepLines/>
        <w:widowControl w:val="0"/>
        <w:spacing w:line="2240" w:lineRule="exact" w:after="0"/>
      </w:pPr>
    </w:p>
    <w:p>
      <w:pPr>
        <w:pStyle w:val="ListNumber"/>
        <w:keepNext/>
        <w:spacing w:after="100"/>
        <w:ind w:left="432" w:hanging="259"/>
      </w:pPr>
      <w:r>
        <w:t>Confirme con docker ps que jadda_mysql, jadda_backend y jadda_frontend están en ejecución.</w:t>
      </w:r>
    </w:p>
    <w:p>
      <w:pPr>
        <w:pStyle w:val="Captura"/>
        <w:keepNext/>
        <w:spacing w:before="80" w:after="0"/>
        <w:ind w:left="259"/>
      </w:pPr>
      <w:r>
        <w:rPr>
          <w:rFonts w:ascii="Aptos" w:hAnsi="Aptos"/>
          <w:b/>
          <w:color w:val="B42318"/>
          <w:sz w:val="19"/>
          <w:lang w:val="es-CO"/>
        </w:rPr>
        <w:t>**CAPTURA 13 · Paso 3: Mostrar la pantalla resultante de «Confirme con docker ps que jadda_mysql, jadda_backend y jadda_frontend están en ejecución.»**</w:t>
      </w:r>
    </w:p>
    <w:p>
      <w:pPr>
        <w:keepLines/>
        <w:widowControl w:val="0"/>
        <w:spacing w:line="2240" w:lineRule="exact" w:after="0"/>
      </w:pPr>
    </w:p>
    <w:p>
      <w:pPr>
        <w:pStyle w:val="ListNumber"/>
        <w:keepNext/>
        <w:spacing w:after="100"/>
        <w:ind w:left="432" w:hanging="259"/>
      </w:pPr>
      <w:r>
        <w:t>Consulte http://localhost:5000/health; la respuesta esperada contiene ok=true y estado disponible.</w:t>
      </w:r>
    </w:p>
    <w:p>
      <w:pPr>
        <w:pStyle w:val="Captura"/>
        <w:keepNext/>
        <w:spacing w:before="80" w:after="0"/>
        <w:ind w:left="259"/>
      </w:pPr>
      <w:r>
        <w:rPr>
          <w:rFonts w:ascii="Aptos" w:hAnsi="Aptos"/>
          <w:b/>
          <w:color w:val="B42318"/>
          <w:sz w:val="19"/>
          <w:lang w:val="es-CO"/>
        </w:rPr>
        <w:t>**CAPTURA 14 · Paso 4: Mostrar la pantalla resultante de «Consulte http://localhost:5000/health; la respuesta esperada contiene ok=true y estado disponible.»**</w:t>
      </w:r>
    </w:p>
    <w:p>
      <w:pPr>
        <w:keepLines/>
        <w:widowControl w:val="0"/>
        <w:spacing w:line="2240" w:lineRule="exact" w:after="0"/>
      </w:pPr>
    </w:p>
    <w:p>
      <w:pPr>
        <w:pStyle w:val="ListNumber"/>
        <w:keepNext/>
        <w:spacing w:after="100"/>
        <w:ind w:left="432" w:hanging="259"/>
      </w:pPr>
      <w:r>
        <w:t>Abra http://localhost:5173 y compruebe la tienda. Inicie sesión con la cuenta administrativa inicial y cambie su contraseña.</w:t>
      </w:r>
    </w:p>
    <w:p>
      <w:pPr>
        <w:pStyle w:val="Captura"/>
        <w:keepNext/>
        <w:spacing w:before="80" w:after="0"/>
        <w:ind w:left="259"/>
      </w:pPr>
      <w:r>
        <w:rPr>
          <w:rFonts w:ascii="Aptos" w:hAnsi="Aptos"/>
          <w:b/>
          <w:color w:val="B42318"/>
          <w:sz w:val="19"/>
          <w:lang w:val="es-CO"/>
        </w:rPr>
        <w:t>**CAPTURA 15 · Paso 5: Mostrar la pantalla resultante de «Abra http://localhost:5173 y compruebe la tienda. Inicie sesión con la cuenta administrativa inicial y…»** Evita mostrar datos personales, contraseñas o información de pago.</w:t>
      </w:r>
    </w:p>
    <w:p>
      <w:pPr>
        <w:keepLines/>
        <w:widowControl w:val="0"/>
        <w:spacing w:line="2240" w:lineRule="exact" w:after="0"/>
      </w:pPr>
    </w:p>
    <w:p>
      <w:r>
        <w:t>La API crea las tablas, ejecuta migraciones idempotentes e inserta datos iniciales al arrancar en desarrollo. No se requiere importar SQL manualmente. Para producción siga la guía de despliegue, donde las migraciones se ejecutan con el servicio migrate y las credenciales tienen separación de privilegios.</w:t>
      </w:r>
    </w:p>
    <w:p>
      <w:pPr>
        <w:pStyle w:val="Heading2"/>
      </w:pPr>
      <w:r>
        <w:t>7.4 Respaldo inicial y acceso desde la red</w:t>
      </w:r>
    </w:p>
    <w:p>
      <w:r>
        <w:t>Ejecute el procedimiento scripts/backup.ps1 y confirme que genera los archivos esperados. Para compartir la tienda en la red, habilite el puerto 5173 conforme a docs/implantacion/03-guia-despliegue.md y entregue la dirección del servidor. Para móvil, configure movil/.env con la dirección de red del servidor.</w:t>
      </w:r>
    </w:p>
    <w:p>
      <w:pPr>
        <w:pStyle w:val="Heading1"/>
      </w:pPr>
      <w:r>
        <w:t>8. Operación, respaldo y solución de fallos</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2476"/>
            <w:vAlign w:val="center"/>
            <w:tcMar>
              <w:top w:w="115" w:type="dxa"/>
              <w:start w:w="145" w:type="dxa"/>
              <w:bottom w:w="115" w:type="dxa"/>
              <w:end w:w="145" w:type="dxa"/>
            </w:tcMar>
            <w:shd w:fill="17365D"/>
          </w:tcPr>
          <w:p>
            <w:pPr>
              <w:spacing w:after="20"/>
            </w:pPr>
            <w:r>
              <w:rPr>
                <w:rFonts w:ascii="Aptos" w:hAnsi="Aptos"/>
                <w:b/>
                <w:color w:val="FFFFFF"/>
                <w:sz w:val="19"/>
                <w:lang w:val="es-CO"/>
              </w:rPr>
              <w:t>Tarea</w:t>
            </w:r>
          </w:p>
        </w:tc>
        <w:tc>
          <w:tcPr>
            <w:tcW w:type="dxa" w:w="7200"/>
            <w:vAlign w:val="center"/>
            <w:tcMar>
              <w:top w:w="115" w:type="dxa"/>
              <w:start w:w="145" w:type="dxa"/>
              <w:bottom w:w="115" w:type="dxa"/>
              <w:end w:w="145" w:type="dxa"/>
            </w:tcMar>
            <w:shd w:fill="17365D"/>
          </w:tcPr>
          <w:p>
            <w:pPr>
              <w:spacing w:after="20"/>
            </w:pPr>
            <w:r>
              <w:rPr>
                <w:rFonts w:ascii="Aptos" w:hAnsi="Aptos"/>
                <w:b/>
                <w:color w:val="FFFFFF"/>
                <w:sz w:val="19"/>
                <w:lang w:val="es-CO"/>
              </w:rPr>
              <w:t>Acción o referencia</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Logs API</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docker logs jadda_backend</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Logs web</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docker logs jadda_frontend</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Estado de salud</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http://localhost:5000/health y /api/health</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Respaldo</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powershell -ExecutionPolicy Bypass -File scripts/backup.ps1</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Restauración</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scripts/restaurar-backup.ps1; consultar antes docs/implantacion/02-plan-migracion-respaldos.md</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Actualización</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Realizar respaldo; actualizar el código; ejecutar docker compose up -d --build.</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Detener servicios</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docker compose down. Conserva el volumen de datos.</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Eliminar datos</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docker compose down -v elimina el volumen de MySQL; respaldar antes de ejecutar.</w:t>
            </w:r>
          </w:p>
        </w:tc>
      </w:tr>
    </w:tbl>
    <w:p/>
    <w:p>
      <w:r>
        <w:t>Si un puerto está ocupado, cambie el mapeo de compose y mantenga alineadas las URL de frontend. Si los servicios no levantan, revise logs, variables de entorno y estado de Docker. Para instrucciones completas consulte las guías de preparación, despliegue y respaldo en docs/implantacion.</w:t>
      </w:r>
    </w:p>
    <w:p>
      <w:pPr>
        <w:pStyle w:val="Heading1"/>
      </w:pPr>
      <w:r>
        <w:t>9. Interfaces de la API</w:t>
      </w:r>
    </w:p>
    <w:p>
      <w:r>
        <w:t>El prefijo global de la API es /api. La sesión se requiere en operaciones personales; las rutas administrativas requieren el rol administrador y las funciones de vendedor requieren el rol correspondiente.</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2476"/>
            <w:vAlign w:val="center"/>
            <w:tcMar>
              <w:top w:w="115" w:type="dxa"/>
              <w:start w:w="145" w:type="dxa"/>
              <w:bottom w:w="115" w:type="dxa"/>
              <w:end w:w="145" w:type="dxa"/>
            </w:tcMar>
            <w:shd w:fill="17365D"/>
          </w:tcPr>
          <w:p>
            <w:pPr>
              <w:spacing w:after="20"/>
            </w:pPr>
            <w:r>
              <w:rPr>
                <w:rFonts w:ascii="Aptos" w:hAnsi="Aptos"/>
                <w:b/>
                <w:color w:val="FFFFFF"/>
                <w:sz w:val="19"/>
                <w:lang w:val="es-CO"/>
              </w:rPr>
              <w:t>Área</w:t>
            </w:r>
          </w:p>
        </w:tc>
        <w:tc>
          <w:tcPr>
            <w:tcW w:type="dxa" w:w="7200"/>
            <w:vAlign w:val="center"/>
            <w:tcMar>
              <w:top w:w="115" w:type="dxa"/>
              <w:start w:w="145" w:type="dxa"/>
              <w:bottom w:w="115" w:type="dxa"/>
              <w:end w:w="145" w:type="dxa"/>
            </w:tcMar>
            <w:shd w:fill="17365D"/>
          </w:tcPr>
          <w:p>
            <w:pPr>
              <w:spacing w:after="20"/>
            </w:pPr>
            <w:r>
              <w:rPr>
                <w:rFonts w:ascii="Aptos" w:hAnsi="Aptos"/>
                <w:b/>
                <w:color w:val="FFFFFF"/>
                <w:sz w:val="19"/>
                <w:lang w:val="es-CO"/>
              </w:rPr>
              <w:t>Responsabilidad y rutas principales</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Autenticación</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/api/auth: registro, inicio/cierre de sesión, confirmación, perfil y recuperación.</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Catálogo</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/api/productos: consulta, búsqueda, detalles, reseñas y recursos administrativos.</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Carrito y checkout</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/api/carrito y /api/checkout/procesar: operaciones del carrito y generación de pedido.</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Pagos</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/api/pagos: configuración, inicio de pago, consulta de estado y webhook.</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Compras</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/api/compras: historial, detalle, factura, cancelación, dirección y reembolsos.</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Devoluciones</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/api/devoluciones: solicitudes, evidencias, revisión y gestión por rol.</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Retos</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/api/retos: listado, unión, progreso, evidencias y moderación.</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Administración</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/api/admin: órdenes, usuarios, reportes, vendedores y gestión de catálogo.</w:t>
            </w:r>
          </w:p>
        </w:tc>
      </w:tr>
      <w:tr>
        <w:tc>
          <w:tcPr>
            <w:tcW w:type="dxa" w:w="2476"/>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Vendedor</w:t>
            </w:r>
          </w:p>
        </w:tc>
        <w:tc>
          <w:tcPr>
            <w:tcW w:type="dxa" w:w="7200"/>
            <w:tcMar>
              <w:top w:w="115" w:type="dxa"/>
              <w:start w:w="145" w:type="dxa"/>
              <w:bottom w:w="115" w:type="dxa"/>
              <w:end w:w="145" w:type="dxa"/>
            </w:tcMar>
            <w:vAlign w:val="center"/>
            <w:shd w:fill="EAF2F8"/>
          </w:tcPr>
          <w:p>
            <w:pPr>
              <w:spacing w:after="20" w:line="259" w:lineRule="auto"/>
            </w:pPr>
            <w:r>
              <w:rPr>
                <w:rFonts w:ascii="Aptos" w:hAnsi="Aptos"/>
                <w:color w:val="000000"/>
                <w:sz w:val="19"/>
                <w:lang w:val="es-CO"/>
              </w:rPr>
              <w:t>/api/vendedor: tienda, productos, ventas, devoluciones y reportes.</w:t>
            </w:r>
          </w:p>
        </w:tc>
      </w:tr>
      <w:tr>
        <w:tc>
          <w:tcPr>
            <w:tcW w:type="dxa" w:w="2476"/>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Comunicación</w:t>
            </w:r>
          </w:p>
        </w:tc>
        <w:tc>
          <w:tcPr>
            <w:tcW w:type="dxa" w:w="7200"/>
            <w:tcMar>
              <w:top w:w="115" w:type="dxa"/>
              <w:start w:w="145" w:type="dxa"/>
              <w:bottom w:w="115" w:type="dxa"/>
              <w:end w:w="145" w:type="dxa"/>
            </w:tcMar>
            <w:vAlign w:val="center"/>
            <w:shd w:fill="FFFFFF"/>
          </w:tcPr>
          <w:p>
            <w:pPr>
              <w:spacing w:after="20" w:line="259" w:lineRule="auto"/>
            </w:pPr>
            <w:r>
              <w:rPr>
                <w:rFonts w:ascii="Aptos" w:hAnsi="Aptos"/>
                <w:color w:val="000000"/>
                <w:sz w:val="19"/>
                <w:lang w:val="es-CO"/>
              </w:rPr>
              <w:t>/api/chat, /api/notificaciones, /api/contacto y /api/pqr.</w:t>
            </w:r>
          </w:p>
        </w:tc>
      </w:tr>
    </w:tbl>
    <w:p/>
    <w:p>
      <w:r>
        <w:t>Consulte los routers y controladores del backend para el contrato exacto de campos, códigos HTTP y permisos de cada endpoint. El estado /health sirve para comprobaciones de disponibilidad y está exento del limitador global.</w:t>
      </w:r>
    </w:p>
    <w:p>
      <w:pPr>
        <w:pStyle w:val="Heading1"/>
      </w:pPr>
      <w:r>
        <w:t>10. Acuerdos de servicio y control</w:t>
      </w:r>
    </w:p>
    <w:p>
      <w:r>
        <w:t>La documentación del proyecto no define un acuerdo formal de niveles de servicio (ANS), horario de soporte ni tiempos garantizados de recuperación. Los tiempos de negocio indicados en este manual —por ejemplo, revisión de retos o plazo de postventa— son reglas funcionales y no compromisos de disponibilidad de infraestructura. Defina los ANS con el responsable de operación antes de desplegar en producción.</w:t>
      </w:r>
    </w:p>
    <w:p>
      <w:r>
        <w:t>Documentación técnica relacionada: docs/diagrams/arquitectura.md, base-de-datos.md y flujos.md; docs/implantacion/01-preparacion-plataforma.md, 02-plan-migracion-respaldos.md, 03-guia-despliegue.md y 04-despliegue-produccion.md; backend/README.md y frontend/README.md.</w:t>
      </w:r>
    </w:p>
    <w:p>
      <w:pPr>
        <w:pStyle w:val="Heading1"/>
      </w:pPr>
      <w:r>
        <w:t>Control del documento</w:t>
      </w:r>
    </w:p>
    <w:p>
      <w:r>
        <w:t>Versión 1.0 · 30 de octubre de 2026. Adaptado a partir de docs/manuales/manual-tecnico.md, manual-instalacion.md y documentación técnica vigente. Revisar antes de cada despliegue mayor para mantener concordancia con variables de entorno, versiones y procesos de operación.</w:t>
      </w:r>
    </w:p>
    <w:sectPr w:rsidR="00FC693F" w:rsidRPr="0006063C" w:rsidSect="00034616">
      <w:headerReference w:type="default" r:id="rId9"/>
      <w:footerReference w:type="default" r:id="rId10"/>
      <w:pgSz w:w="12240" w:h="15840"/>
      <w:pgMar w:top="1123" w:right="1181" w:bottom="1037"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Manual de referencia  •  Versión 1.0  •  Página </w:t>
    </w:r>
    <w:r>
      <w:rPr>
        <w:rFonts w:ascii="Aptos" w:hAnsi="Aptos"/>
        <w:color w:val="5B6573"/>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line="240" w:lineRule="auto"/>
    </w:pPr>
    <w:r>
      <w:drawing>
        <wp:inline xmlns:a="http://schemas.openxmlformats.org/drawingml/2006/main" xmlns:pic="http://schemas.openxmlformats.org/drawingml/2006/picture">
          <wp:extent cx="685800" cy="457200"/>
          <wp:docPr id="1" name="Picture 1"/>
          <wp:cNvGraphicFramePr>
            <a:graphicFrameLocks noChangeAspect="1"/>
          </wp:cNvGraphicFramePr>
          <a:graphic>
            <a:graphicData uri="http://schemas.openxmlformats.org/drawingml/2006/picture">
              <pic:pic>
                <pic:nvPicPr>
                  <pic:cNvPr id="0" name="LogoJadda.png"/>
                  <pic:cNvPicPr/>
                </pic:nvPicPr>
                <pic:blipFill>
                  <a:blip r:embed="rId1"/>
                  <a:stretch>
                    <a:fillRect/>
                  </a:stretch>
                </pic:blipFill>
                <pic:spPr>
                  <a:xfrm>
                    <a:off x="0" y="0"/>
                    <a:ext cx="685800" cy="457200"/>
                  </a:xfrm>
                  <a:prstGeom prst="rect"/>
                </pic:spPr>
              </pic:pic>
            </a:graphicData>
          </a:graphic>
        </wp:inline>
      </w:drawing>
    </w:r>
    <w:r>
      <w:tab/>
    </w:r>
    <w:r>
      <w:rPr>
        <w:rFonts w:ascii="Aptos" w:hAnsi="Aptos"/>
        <w:b/>
        <w:color w:val="1F3754"/>
        <w:sz w:val="18"/>
      </w:rPr>
      <w:t>JADDA SPORTS   |   Manual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ura">
    <w:name w:val="Captura"/>
    <w:pPr>
      <w:keepNext/>
      <w:spacing w:before="200" w:after="80"/>
    </w:pPr>
    <w:rPr>
      <w:rFonts w:ascii="Aptos" w:hAnsi="Apto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