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7DEC" w14:textId="77777777" w:rsidR="00FF5057" w:rsidRPr="00FF5057" w:rsidRDefault="00AA3FC2" w:rsidP="00FF5057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proofErr w:type="spellStart"/>
      <w:r w:rsidRPr="00FF5057">
        <w:rPr>
          <w:rFonts w:ascii="Times New Roman" w:hAnsi="Times New Roman" w:cs="Times New Roman"/>
          <w:b/>
          <w:bCs/>
          <w:lang w:val="es-MX"/>
        </w:rPr>
        <w:t>Storytelling</w:t>
      </w:r>
      <w:proofErr w:type="spellEnd"/>
      <w:r w:rsidRPr="00FF5057">
        <w:rPr>
          <w:rFonts w:ascii="Times New Roman" w:hAnsi="Times New Roman" w:cs="Times New Roman"/>
          <w:b/>
          <w:bCs/>
          <w:lang w:val="es-MX"/>
        </w:rPr>
        <w:t xml:space="preserve"> proyecto 3</w:t>
      </w:r>
    </w:p>
    <w:p w14:paraId="3F6E64CE" w14:textId="02501A09" w:rsidR="00C108F6" w:rsidRPr="00FF5057" w:rsidRDefault="00AA3FC2" w:rsidP="00FF5057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FF5057">
        <w:rPr>
          <w:rFonts w:ascii="Times New Roman" w:hAnsi="Times New Roman" w:cs="Times New Roman"/>
          <w:lang w:val="es-MX"/>
        </w:rPr>
        <w:br/>
      </w:r>
      <w:r w:rsidR="00FF5057" w:rsidRPr="00FF5057">
        <w:rPr>
          <w:rFonts w:ascii="Times New Roman" w:hAnsi="Times New Roman" w:cs="Times New Roman"/>
          <w:lang w:val="es-MX"/>
        </w:rPr>
        <w:t>Este análisis muestra el rendimiento de ingresos y ganancias según categorías de productos y países, lo que posibilita determinar cuáles contribuyen más al negocio.  La compañía obtuvo 1.3 millones de ingresos durante el periodo evaluado, de los cuales 453.12 mil corresponden a beneficios. Esto demuestra que la empresa tiene un rendimiento rentable y constante en su cartera de productos.</w:t>
      </w:r>
    </w:p>
    <w:p w14:paraId="195AC201" w14:textId="3962767D" w:rsidR="00FF5057" w:rsidRPr="00FF5057" w:rsidRDefault="00FF5057" w:rsidP="00FF5057">
      <w:pPr>
        <w:spacing w:line="360" w:lineRule="auto"/>
        <w:jc w:val="both"/>
        <w:rPr>
          <w:rFonts w:ascii="Times New Roman" w:hAnsi="Times New Roman" w:cs="Times New Roman"/>
        </w:rPr>
      </w:pPr>
      <w:r w:rsidRPr="00FF5057">
        <w:rPr>
          <w:rFonts w:ascii="Times New Roman" w:hAnsi="Times New Roman" w:cs="Times New Roman"/>
        </w:rPr>
        <w:t xml:space="preserve">Entre 1997 y 1998, el comportamiento de las ventas experimentó cambios significativos. A pesar de que algunas, como los productos lácteos y los mariscos, mostraron fluctuaciones en sus promedios, las categorías más vendidas, por </w:t>
      </w:r>
      <w:r w:rsidR="00A576D1" w:rsidRPr="00FF5057">
        <w:rPr>
          <w:rFonts w:ascii="Times New Roman" w:hAnsi="Times New Roman" w:cs="Times New Roman"/>
        </w:rPr>
        <w:t>ejemplo,</w:t>
      </w:r>
      <w:r w:rsidRPr="00FF5057">
        <w:rPr>
          <w:rFonts w:ascii="Times New Roman" w:hAnsi="Times New Roman" w:cs="Times New Roman"/>
        </w:rPr>
        <w:t xml:space="preserve"> bebidas, confites y productos agrícolas, mantuvieron volúmenes altos. Esta discrepancia indica modificaciones en los hábitos de consumo, la accesibilidad de los productos o elementos relacionados con el precio del mercado.</w:t>
      </w:r>
    </w:p>
    <w:p w14:paraId="04F81C20" w14:textId="77777777" w:rsidR="00FF5057" w:rsidRPr="00FF5057" w:rsidRDefault="00FF5057" w:rsidP="00FF5057">
      <w:pPr>
        <w:spacing w:line="360" w:lineRule="auto"/>
        <w:jc w:val="both"/>
        <w:rPr>
          <w:rFonts w:ascii="Times New Roman" w:hAnsi="Times New Roman" w:cs="Times New Roman"/>
        </w:rPr>
      </w:pPr>
      <w:r w:rsidRPr="00FF5057">
        <w:rPr>
          <w:rFonts w:ascii="Times New Roman" w:hAnsi="Times New Roman" w:cs="Times New Roman"/>
        </w:rPr>
        <w:t xml:space="preserve">La revisión de los ingresos por categorías demuestra que las más importantes son </w:t>
      </w:r>
      <w:proofErr w:type="spellStart"/>
      <w:r w:rsidRPr="00FF5057">
        <w:rPr>
          <w:rFonts w:ascii="Times New Roman" w:hAnsi="Times New Roman" w:cs="Times New Roman"/>
        </w:rPr>
        <w:t>Dairy</w:t>
      </w:r>
      <w:proofErr w:type="spellEnd"/>
      <w:r w:rsidRPr="00FF5057">
        <w:rPr>
          <w:rFonts w:ascii="Times New Roman" w:hAnsi="Times New Roman" w:cs="Times New Roman"/>
        </w:rPr>
        <w:t xml:space="preserve"> </w:t>
      </w:r>
      <w:proofErr w:type="spellStart"/>
      <w:r w:rsidRPr="00FF5057">
        <w:rPr>
          <w:rFonts w:ascii="Times New Roman" w:hAnsi="Times New Roman" w:cs="Times New Roman"/>
        </w:rPr>
        <w:t>Products</w:t>
      </w:r>
      <w:proofErr w:type="spellEnd"/>
      <w:r w:rsidRPr="00FF5057">
        <w:rPr>
          <w:rFonts w:ascii="Times New Roman" w:hAnsi="Times New Roman" w:cs="Times New Roman"/>
        </w:rPr>
        <w:t xml:space="preserve"> y </w:t>
      </w:r>
      <w:proofErr w:type="spellStart"/>
      <w:r w:rsidRPr="00FF5057">
        <w:rPr>
          <w:rFonts w:ascii="Times New Roman" w:hAnsi="Times New Roman" w:cs="Times New Roman"/>
        </w:rPr>
        <w:t>Beverages</w:t>
      </w:r>
      <w:proofErr w:type="spellEnd"/>
      <w:r w:rsidRPr="00FF5057">
        <w:rPr>
          <w:rFonts w:ascii="Times New Roman" w:hAnsi="Times New Roman" w:cs="Times New Roman"/>
        </w:rPr>
        <w:t>, que contienen la mayor parte del valor total. No obstante, tras examinar el promedio de ganancias, se puede notar que los productos lácteos, las aves/carnes y la producción de vegetales se encuentran entre las categorías más rentables. Esto significa que a pesar de que algunas categorías tengan un mayor volumen de ventas, no siempre producen el margen de ganancia más alto.</w:t>
      </w:r>
    </w:p>
    <w:p w14:paraId="64F0CFFA" w14:textId="77777777" w:rsidR="00FF5057" w:rsidRPr="00FF5057" w:rsidRDefault="00FF5057" w:rsidP="00FF5057">
      <w:pPr>
        <w:spacing w:line="360" w:lineRule="auto"/>
        <w:jc w:val="both"/>
        <w:rPr>
          <w:rFonts w:ascii="Times New Roman" w:hAnsi="Times New Roman" w:cs="Times New Roman"/>
        </w:rPr>
      </w:pPr>
      <w:r w:rsidRPr="00FF5057">
        <w:rPr>
          <w:rFonts w:ascii="Times New Roman" w:hAnsi="Times New Roman" w:cs="Times New Roman"/>
        </w:rPr>
        <w:t>El mapa de ingresos muestra, desde el punto de vista geográfico, que Europa y América del Norte son regiones con alta concentración, contribuyendo con un valor comercial significativo. Dado que otras regiones, como Sudamérica y Oceanía, tienen un potencial de crecimiento, se podrían tener en cuenta estrategias de expansión o penetración para diversificar las fuentes de ingresos.</w:t>
      </w:r>
    </w:p>
    <w:p w14:paraId="55605D58" w14:textId="77777777" w:rsidR="00FF5057" w:rsidRPr="00FF5057" w:rsidRDefault="00FF5057" w:rsidP="00FF505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F5057" w:rsidRPr="00FF50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C2"/>
    <w:rsid w:val="00424EC6"/>
    <w:rsid w:val="00816A5B"/>
    <w:rsid w:val="00A576D1"/>
    <w:rsid w:val="00AA3FC2"/>
    <w:rsid w:val="00C108F6"/>
    <w:rsid w:val="00CB7B0D"/>
    <w:rsid w:val="00FF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7738"/>
  <w15:chartTrackingRefBased/>
  <w15:docId w15:val="{09467E40-F7C0-4BDC-8643-C30EC5A8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F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F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F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F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F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F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F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F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F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F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1481</Characters>
  <Application>Microsoft Office Word</Application>
  <DocSecurity>0</DocSecurity>
  <Lines>28</Lines>
  <Paragraphs>11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Yeisy Trejos G.</dc:creator>
  <cp:keywords/>
  <dc:description/>
  <cp:lastModifiedBy>Yeisy Trejos G.</cp:lastModifiedBy>
  <cp:revision>3</cp:revision>
  <dcterms:created xsi:type="dcterms:W3CDTF">2025-11-20T18:09:00Z</dcterms:created>
  <dcterms:modified xsi:type="dcterms:W3CDTF">2025-11-20T18:11:00Z</dcterms:modified>
</cp:coreProperties>
</file>