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7E47" w14:textId="1CE1ACA0" w:rsidR="00C21758" w:rsidRPr="00C21758" w:rsidRDefault="00C21758" w:rsidP="00C21758">
      <w:pPr>
        <w:spacing w:line="360" w:lineRule="auto"/>
        <w:jc w:val="both"/>
        <w:rPr>
          <w:rFonts w:ascii="Times New Roman" w:hAnsi="Times New Roman" w:cs="Times New Roman"/>
        </w:rPr>
      </w:pPr>
      <w:r w:rsidRPr="00C21758">
        <w:rPr>
          <w:rFonts w:ascii="Times New Roman" w:hAnsi="Times New Roman" w:cs="Times New Roman"/>
        </w:rPr>
        <w:t>Storrytelling</w:t>
      </w:r>
      <w:r>
        <w:rPr>
          <w:rFonts w:ascii="Times New Roman" w:hAnsi="Times New Roman" w:cs="Times New Roman"/>
        </w:rPr>
        <w:t xml:space="preserve"> - </w:t>
      </w:r>
      <w:r w:rsidRPr="00C21758">
        <w:rPr>
          <w:rFonts w:ascii="Times New Roman" w:hAnsi="Times New Roman" w:cs="Times New Roman"/>
        </w:rPr>
        <w:t>Proyecto 1</w:t>
      </w:r>
    </w:p>
    <w:p w14:paraId="68EA6C5C" w14:textId="18A84254" w:rsidR="00C21758" w:rsidRPr="00C21758" w:rsidRDefault="00C21758" w:rsidP="00C21758">
      <w:pPr>
        <w:spacing w:line="360" w:lineRule="auto"/>
        <w:jc w:val="both"/>
        <w:rPr>
          <w:rFonts w:ascii="Times New Roman" w:hAnsi="Times New Roman" w:cs="Times New Roman"/>
        </w:rPr>
      </w:pPr>
      <w:r w:rsidRPr="00C21758">
        <w:rPr>
          <w:rFonts w:ascii="Times New Roman" w:hAnsi="Times New Roman" w:cs="Times New Roman"/>
        </w:rPr>
        <w:t>La compañía tuvo un rendimiento comercial positivo entre 2019 y 2020, con una inclinación a crecer de manera gradual. Aproximadamente 1 millón de ventas fueron registradas en estos dos años, resultando en 175 mil de utilidad, lo cual demuestra un margen lucrativo, particularmente en productos con mayor valor añadido.</w:t>
      </w:r>
    </w:p>
    <w:p w14:paraId="044C0375" w14:textId="77777777" w:rsidR="00C21758" w:rsidRPr="00C21758" w:rsidRDefault="00C21758" w:rsidP="00C21758">
      <w:pPr>
        <w:spacing w:line="360" w:lineRule="auto"/>
        <w:jc w:val="both"/>
        <w:rPr>
          <w:rFonts w:ascii="Times New Roman" w:hAnsi="Times New Roman" w:cs="Times New Roman"/>
        </w:rPr>
      </w:pPr>
      <w:r w:rsidRPr="00C21758">
        <w:rPr>
          <w:rFonts w:ascii="Times New Roman" w:hAnsi="Times New Roman" w:cs="Times New Roman"/>
        </w:rPr>
        <w:t>El análisis entre las ventas y la utilidad confirma que existe una relación directa: conforme a la dispersión observada, las operaciones con montos más elevados tienden a producir beneficios mayores. Sin embargo, es crucial señalar que hay ventas con resultados negativos, lo que indica altos costos o descuentos excesivos relacionados con algunas órdenes. Esto supone una ocasión para reevaluar las políticas de promoción y las tácticas de precios.</w:t>
      </w:r>
    </w:p>
    <w:p w14:paraId="2A1218AC" w14:textId="0A055FF1" w:rsidR="00C21758" w:rsidRPr="00C21758" w:rsidRDefault="00C21758" w:rsidP="00C21758">
      <w:pPr>
        <w:spacing w:line="360" w:lineRule="auto"/>
        <w:jc w:val="both"/>
        <w:rPr>
          <w:rFonts w:ascii="Times New Roman" w:hAnsi="Times New Roman" w:cs="Times New Roman"/>
        </w:rPr>
      </w:pPr>
      <w:r w:rsidRPr="00C21758">
        <w:rPr>
          <w:rFonts w:ascii="Times New Roman" w:hAnsi="Times New Roman" w:cs="Times New Roman"/>
        </w:rPr>
        <w:t>Furniture y Technology son las categorías de productos más rentables, pues logran cifras de ventas próximas a los 100 mil y tienen los promedios más elevados por compra. Estas categorías son fundamentales para orientar las promociones y estrategias hacia clientes de oficina y corporativos, ya que muestran una mayor intención de compra en estos sectores.</w:t>
      </w:r>
    </w:p>
    <w:p w14:paraId="134941D9" w14:textId="77777777" w:rsidR="00C21758" w:rsidRPr="00C21758" w:rsidRDefault="00C21758" w:rsidP="00C21758">
      <w:pPr>
        <w:spacing w:line="360" w:lineRule="auto"/>
        <w:jc w:val="both"/>
        <w:rPr>
          <w:rFonts w:ascii="Times New Roman" w:hAnsi="Times New Roman" w:cs="Times New Roman"/>
        </w:rPr>
      </w:pPr>
      <w:r w:rsidRPr="00C21758">
        <w:rPr>
          <w:rFonts w:ascii="Times New Roman" w:hAnsi="Times New Roman" w:cs="Times New Roman"/>
        </w:rPr>
        <w:t>Desde la perspectiva temporal, el análisis mensual revela un aumento más marcado durante el trimestre final, lo que indica que 2020 supera a 2019 en los meses de cierre. Esto señala una conducta estacional vinculada con las compras de empresas y los cierres anuales fiscales.</w:t>
      </w:r>
    </w:p>
    <w:p w14:paraId="7C6FE09E" w14:textId="77777777" w:rsidR="00C21758" w:rsidRPr="00C21758" w:rsidRDefault="00C21758" w:rsidP="00C21758">
      <w:pPr>
        <w:spacing w:line="360" w:lineRule="auto"/>
        <w:jc w:val="both"/>
        <w:rPr>
          <w:rFonts w:ascii="Times New Roman" w:hAnsi="Times New Roman" w:cs="Times New Roman"/>
        </w:rPr>
      </w:pPr>
      <w:r w:rsidRPr="00C21758">
        <w:rPr>
          <w:rFonts w:ascii="Times New Roman" w:hAnsi="Times New Roman" w:cs="Times New Roman"/>
        </w:rPr>
        <w:t>El Oeste es el mercado más destacado en términos de territorio, ya que tiene el volumen de ventas más grande y los promedios regionales más altos. California, Idaho y Nevada se destacan como áreas clave para el crecimiento y la fidelización. Al contrario, el Sur muestra una participación más baja, lo que hace de esta región un lugar propicio para impulsar campañas que fomenten la demanda.</w:t>
      </w:r>
    </w:p>
    <w:p w14:paraId="390E1AFD" w14:textId="75319D58" w:rsidR="00C108F6" w:rsidRPr="00C21758" w:rsidRDefault="00C108F6" w:rsidP="00C21758">
      <w:pPr>
        <w:spacing w:line="360" w:lineRule="auto"/>
        <w:jc w:val="both"/>
        <w:rPr>
          <w:rFonts w:ascii="Times New Roman" w:hAnsi="Times New Roman" w:cs="Times New Roman"/>
        </w:rPr>
      </w:pPr>
    </w:p>
    <w:sectPr w:rsidR="00C108F6" w:rsidRPr="00C217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5B"/>
    <w:rsid w:val="00424EC6"/>
    <w:rsid w:val="0051238E"/>
    <w:rsid w:val="007E5A06"/>
    <w:rsid w:val="00816A5B"/>
    <w:rsid w:val="00B21FE8"/>
    <w:rsid w:val="00C108F6"/>
    <w:rsid w:val="00C21758"/>
    <w:rsid w:val="00CB7B0D"/>
    <w:rsid w:val="00D0335B"/>
    <w:rsid w:val="00FD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2AA4"/>
  <w15:chartTrackingRefBased/>
  <w15:docId w15:val="{0B47E157-412A-410A-BF43-7E0A838F9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3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3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3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3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3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3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3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3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3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3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3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3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3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3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3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275</Words>
  <Characters>1546</Characters>
  <Application>Microsoft Office Word</Application>
  <DocSecurity>0</DocSecurity>
  <Lines>29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Yeisy Trejos G.</dc:creator>
  <cp:keywords/>
  <dc:description/>
  <cp:lastModifiedBy>Yeisy Trejos G.</cp:lastModifiedBy>
  <cp:revision>5</cp:revision>
  <dcterms:created xsi:type="dcterms:W3CDTF">2025-11-20T18:01:00Z</dcterms:created>
  <dcterms:modified xsi:type="dcterms:W3CDTF">2025-11-20T18:16:00Z</dcterms:modified>
</cp:coreProperties>
</file>