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/>
          <w:rFonts w:ascii="함초롬바탕" w:eastAsia="함초롬바탕" w:hAnsi="함초롬바탕" w:cs="함초롬바탕" w:hint="default"/>
          <w:b/>
          <w:sz w:val="44"/>
          <w:rtl w:val="off"/>
        </w:rPr>
      </w:pPr>
      <w:r>
        <w:rPr>
          <w:lang/>
          <w:rFonts w:ascii="함초롬바탕" w:eastAsia="함초롬바탕" w:hAnsi="함초롬바탕" w:cs="함초롬바탕" w:hint="default"/>
          <w:b/>
          <w:sz w:val="44"/>
          <w:rtl w:val="off"/>
        </w:rPr>
        <mc:AlternateContent>
          <mc:Choice Requires="wps">
            <w:drawing>
              <wp:anchor distT="0" distB="0" distL="114300" distR="114300" behindDoc="0" locked="0" layoutInCell="1" simplePos="0" relativeHeight="251661312" allowOverlap="1" hidden="0">
                <wp:simplePos x="0" y="0"/>
                <wp:positionH relativeFrom="column">
                  <wp:posOffset>14061</wp:posOffset>
                </wp:positionH>
                <wp:positionV relativeFrom="paragraph">
                  <wp:posOffset>889725</wp:posOffset>
                </wp:positionV>
                <wp:extent cx="5460238" cy="97531"/>
                <wp:effectExtent l="0" t="0" r="0" b="0"/>
                <wp:wrapNone/>
                <wp:docPr id="1025" name="shape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TextEdit="1"/>
                      </wps:cNvSpPr>
                      <wps:spPr>
                        <a:xfrm>
                          <a:off x="1157061" y="1804124"/>
                          <a:ext cx="5460238" cy="97531"/>
                        </a:xfrm>
                        <a:prstGeom prst="rect">
                          <a:avLst/>
                        </a:prstGeom>
                        <a:solidFill>
                          <a:srgbClr val="087dbc">
                            <a:alpha val="10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5" style="position:absolute;margin-left:1.10717pt;margin-top:70.0571pt;width:429.94pt;height:7.67961pt;mso-position-horizontal-relative:column;mso-position-vertical-relative:line;v-text-anchor:middle;mso-wrap-style:square;z-index:1895822335" o:allowincell="t" filled="t" fillcolor="#087dbc" strokecolor="#395e8a" strokeweight="2pt">
                <v:stroke joinstyle="round"/>
              </v:rect>
            </w:pict>
          </mc:Fallback>
        </mc:AlternateContent>
      </w:r>
      <w:bookmarkStart w:id="1" w:name="_top"/>
      <w:bookmarkEnd w:id="1"/>
      <w:r>
        <w:rPr>
          <w:rFonts w:ascii="함초롬바탕" w:eastAsia="함초롬바탕" w:hAnsi="함초롬바탕" w:cs="함초롬바탕" w:hint="default"/>
          <w:b/>
          <w:sz w:val="44"/>
        </w:rPr>
        <w:br/>
      </w:r>
    </w:p>
    <w:p>
      <w:pPr>
        <w:jc w:val="center"/>
        <w:rPr>
          <w:rFonts w:ascii="함초롬바탕" w:eastAsia="함초롬바탕" w:hAnsi="함초롬바탕" w:cs="함초롬바탕" w:hint="default"/>
        </w:rPr>
      </w:pPr>
      <w:r>
        <w:rPr>
          <w:rFonts w:ascii="함초롬바탕" w:eastAsia="함초롬바탕" w:hAnsi="함초롬바탕" w:cs="함초롬바탕" w:hint="default"/>
          <w:b/>
          <w:sz w:val="44"/>
        </w:rPr>
        <w:t>[</w:t>
      </w:r>
      <w:r>
        <w:rPr>
          <w:lang w:eastAsia="ko-KR"/>
          <w:rFonts w:ascii="함초롬바탕" w:eastAsia="함초롬바탕" w:hAnsi="함초롬바탕" w:cs="함초롬바탕" w:hint="default"/>
          <w:b/>
          <w:sz w:val="44"/>
          <w:rtl w:val="off"/>
        </w:rPr>
        <w:t>그린퓨처</w:t>
      </w:r>
      <w:r>
        <w:rPr>
          <w:rFonts w:ascii="함초롬바탕" w:eastAsia="함초롬바탕" w:hAnsi="함초롬바탕" w:cs="함초롬바탕" w:hint="default"/>
          <w:b/>
          <w:sz w:val="44"/>
        </w:rPr>
        <w:t>] 투자 분</w:t>
      </w:r>
      <w:r>
        <w:rPr>
          <w:rFonts w:ascii="함초롬바탕" w:eastAsia="함초롬바탕" w:hAnsi="함초롬바탕" w:cs="함초롬바탕" w:hint="default"/>
          <w:b/>
          <w:sz w:val="44"/>
        </w:rPr>
        <w:t>석</w:t>
      </w:r>
      <w:r>
        <w:rPr>
          <w:rFonts w:ascii="함초롬바탕" w:eastAsia="함초롬바탕" w:hAnsi="함초롬바탕" w:cs="함초롬바탕" w:hint="default"/>
          <w:b/>
          <w:sz w:val="44"/>
        </w:rPr>
        <w:t xml:space="preserve"> 보고서</w:t>
      </w:r>
    </w:p>
    <w:p>
      <w:pPr>
        <w:jc w:val="center"/>
        <w:rPr>
          <w:rFonts w:ascii="함초롬바탕" w:eastAsia="함초롬바탕" w:hAnsi="함초롬바탕" w:cs="함초롬바탕" w:hint="default"/>
        </w:rPr>
      </w:pPr>
      <w:r>
        <w:rPr>
          <w:rFonts w:ascii="함초롬바탕" w:eastAsia="함초롬바탕" w:hAnsi="함초롬바탕" w:cs="함초롬바탕" w:hint="default"/>
          <w:sz w:val="40"/>
          <w:szCs w:val="40"/>
        </w:rPr>
        <w:t xml:space="preserve">Confidential </w:t>
      </w:r>
      <w:r>
        <w:rPr>
          <w:rFonts w:ascii="함초롬바탕" w:eastAsia="함초롬바탕" w:hAnsi="함초롬바탕" w:cs="함초롬바탕" w:hint="default"/>
          <w:sz w:val="44"/>
          <w:szCs w:val="44"/>
        </w:rPr>
        <w:t>documen</w:t>
      </w:r>
    </w:p>
    <w:p>
      <w:pPr>
        <w:rPr>
          <w:lang w:eastAsia="ko-KR"/>
          <w:rFonts w:ascii="함초롬바탕" w:eastAsia="함초롬바탕" w:hAnsi="함초롬바탕" w:cs="함초롬바탕" w:hint="eastAsia"/>
          <w:sz w:val="30"/>
          <w:rtl w:val="off"/>
        </w:rPr>
      </w:pPr>
      <w:r>
        <w:rPr>
          <w:lang/>
          <w:rFonts w:ascii="함초롬바탕" w:eastAsia="함초롬바탕" w:hAnsi="함초롬바탕" w:cs="함초롬바탕" w:hint="default"/>
          <w:b/>
          <w:sz w:val="44"/>
          <w:rtl w:val="off"/>
        </w:rPr>
        <mc:AlternateContent>
          <mc:Choice Requires="wps">
            <w:drawing>
              <wp:anchor distT="0" distB="0" distL="114300" distR="114300" behindDoc="0" locked="0" layoutInCell="1" simplePos="0" relativeHeight="251660288" allowOverlap="1" hidden="0">
                <wp:simplePos x="0" y="0"/>
                <wp:positionH relativeFrom="column">
                  <wp:posOffset>18142</wp:posOffset>
                </wp:positionH>
                <wp:positionV relativeFrom="paragraph">
                  <wp:posOffset>67583</wp:posOffset>
                </wp:positionV>
                <wp:extent cx="5460237" cy="97531"/>
                <wp:effectExtent l="0" t="0" r="0" b="0"/>
                <wp:wrapNone/>
                <wp:docPr id="1026" name="shape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TextEdit="1"/>
                      </wps:cNvSpPr>
                      <wps:spPr>
                        <a:xfrm>
                          <a:off x="1161142" y="3535038"/>
                          <a:ext cx="5460237" cy="97531"/>
                        </a:xfrm>
                        <a:prstGeom prst="rect">
                          <a:avLst/>
                        </a:prstGeom>
                        <a:solidFill>
                          <a:srgbClr val="087dbc">
                            <a:alpha val="10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style="position:absolute;margin-left:1.4285pt;margin-top:5.3215pt;width:429.94pt;height:7.67961pt;mso-position-horizontal-relative:column;mso-position-vertical-relative:line;v-text-anchor:middle;mso-wrap-style:square;z-index:1895823359" o:allowincell="t" filled="t" fillcolor="#087dbc" strokecolor="#395e8a" strokeweight="2pt">
                <v:stroke joinstyle="round"/>
              </v:rect>
            </w:pict>
          </mc:Fallback>
        </mc:AlternateContent>
      </w:r>
    </w:p>
    <w:p>
      <w:pPr>
        <w:rPr>
          <w:lang w:eastAsia="ko-KR"/>
          <w:rFonts w:ascii="함초롬바탕" w:eastAsia="함초롬바탕" w:hAnsi="함초롬바탕" w:cs="함초롬바탕" w:hint="eastAsia"/>
          <w:sz w:val="30"/>
          <w:rtl w:val="off"/>
        </w:rPr>
      </w:pPr>
    </w:p>
    <w:p>
      <w:pPr>
        <w:jc w:val="right"/>
        <w:rPr>
          <w:rFonts w:ascii="함초롬바탕" w:eastAsia="함초롬바탕" w:hAnsi="함초롬바탕" w:cs="함초롬바탕" w:hint="default"/>
          <w:sz w:val="32"/>
          <w:szCs w:val="32"/>
        </w:rPr>
      </w:pPr>
      <w:r>
        <w:rPr>
          <w:rFonts w:ascii="함초롬바탕" w:eastAsia="함초롬바탕" w:hAnsi="함초롬바탕" w:cs="함초롬바탕" w:hint="default"/>
          <w:sz w:val="32"/>
          <w:szCs w:val="32"/>
        </w:rPr>
        <w:t xml:space="preserve">작성일: </w:t>
      </w:r>
      <w:r>
        <w:rPr>
          <w:lang w:eastAsia="ko-KR"/>
          <w:rFonts w:ascii="함초롬바탕" w:eastAsia="함초롬바탕" w:hAnsi="함초롬바탕" w:cs="함초롬바탕" w:hint="default"/>
          <w:sz w:val="32"/>
          <w:szCs w:val="32"/>
          <w:rtl w:val="off"/>
        </w:rPr>
        <w:t>2025.09.21</w:t>
      </w:r>
    </w:p>
    <w:p>
      <w:pPr>
        <w:jc w:val="right"/>
        <w:rPr>
          <w:lang/>
          <w:rFonts w:ascii="함초롬바탕" w:eastAsia="함초롬바탕" w:hAnsi="함초롬바탕" w:cs="함초롬바탕"/>
          <w:sz w:val="32"/>
          <w:szCs w:val="32"/>
          <w:rtl w:val="off"/>
        </w:rPr>
      </w:pPr>
      <w:r>
        <w:rPr>
          <w:rFonts w:ascii="함초롬바탕" w:eastAsia="함초롬바탕" w:hAnsi="함초롬바탕" w:cs="함초롬바탕" w:hint="default"/>
          <w:sz w:val="32"/>
          <w:szCs w:val="32"/>
        </w:rPr>
        <w:t>작성자: 애널리스트 김현우</w:t>
      </w:r>
    </w:p>
    <w:p>
      <w:pPr>
        <w:jc w:val="right"/>
        <w:rPr>
          <w:lang/>
          <w:rFonts w:ascii="함초롬바탕" w:eastAsia="함초롬바탕" w:hAnsi="함초롬바탕" w:cs="함초롬바탕" w:hint="default"/>
          <w:b w:val="0"/>
          <w:sz w:val="36"/>
          <w:szCs w:val="36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b w:val="0"/>
          <w:sz w:val="32"/>
          <w:szCs w:val="32"/>
          <w:rtl w:val="off"/>
        </w:rPr>
        <w:t xml:space="preserve">Email: </w:t>
      </w:r>
      <w:r>
        <w:rPr>
          <w:rFonts w:ascii="함초롬바탕" w:eastAsia="함초롬바탕" w:hAnsi="함초롬바탕" w:cs="함초롬바탕"/>
          <w:b/>
          <w:sz w:val="32"/>
          <w:szCs w:val="32"/>
          <w:shd w:val="clear" w:color="000000" w:fill="auto"/>
        </w:rPr>
        <w:t>hshw12@gmail.com</w:t>
      </w:r>
    </w:p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tbl>
      <w:tblPr>
        <w:tblStyle w:val="TableGrid"/>
        <w:tblpPr w:vertAnchor="text" w:horzAnchor="page" w:tblpX="3270" w:tblpY="532"/>
        <w:tblOverlap w:val="never"/>
        <w:tblLook w:val="04A0" w:firstRow="1" w:lastRow="0" w:firstColumn="1" w:lastColumn="0" w:noHBand="0" w:noVBand="1"/>
        <w:tblLayout w:type="autofit"/>
      </w:tblPr>
      <w:tblGrid>
        <w:gridCol w:w="2777"/>
        <w:gridCol w:w="277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7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>
            <w:pPr>
              <w:rPr>
                <w:lang/>
                <w:rFonts w:ascii="함초롬바탕" w:eastAsia="함초롬바탕" w:hAnsi="함초롬바탕" w:cs="함초롬바탕" w:hint="default"/>
                <w:sz w:val="30"/>
                <w:rtl w:val="off"/>
              </w:rPr>
            </w:pPr>
            <w:r>
              <w:rPr>
                <w:rFonts w:ascii="함초롬바탕" w:eastAsia="함초롬바탕" w:hAnsi="함초롬바탕" w:cs="함초롬바탕" w:hint="default"/>
              </w:rPr>
              <w:drawing>
                <wp:anchor distT="0" distB="0" distL="0" distR="0" behindDoc="0" locked="0" layoutInCell="1" simplePos="0" relativeHeight="251659264" allowOverlap="1" hidden="0">
                  <wp:simplePos x="0" y="0"/>
                  <wp:positionH relativeFrom="column">
                    <wp:posOffset>445694</wp:posOffset>
                  </wp:positionH>
                  <wp:positionV relativeFrom="paragraph">
                    <wp:posOffset>12737</wp:posOffset>
                  </wp:positionV>
                  <wp:extent cx="762889" cy="924432"/>
                  <wp:effectExtent l="0" t="0" r="0" b="0"/>
                  <wp:wrapSquare wrapText="bothSides"/>
                  <wp:docPr id="1027" name="shape10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shape1027"/>
                          <pic:cNvPicPr>
                            <a:picLocks noUngrp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889" cy="924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/>
                <w:rFonts w:ascii="함초롬바탕" w:eastAsia="함초롬바탕" w:hAnsi="함초롬바탕" w:cs="함초롬바탕" w:hint="default"/>
                <w:sz w:val="30"/>
                <w:rtl w:val="off"/>
              </w:rPr>
            </w:pPr>
            <w:r>
              <w:rPr>
                <w:rFonts w:ascii="함초롬바탕" w:eastAsia="함초롬바탕" w:hAnsi="함초롬바탕" w:cs="함초롬바탕" w:hint="default"/>
                <w:b/>
                <w:sz w:val="44"/>
              </w:rPr>
              <w:t>HS Capital</w:t>
            </w:r>
          </w:p>
        </w:tc>
      </w:tr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7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>
            <w:pPr>
              <w:rPr>
                <w:lang/>
                <w:rFonts w:ascii="함초롬바탕" w:eastAsia="함초롬바탕" w:hAnsi="함초롬바탕" w:cs="함초롬바탕" w:hint="default"/>
                <w:sz w:val="30"/>
                <w:rtl w:val="off"/>
              </w:rPr>
            </w:pP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/>
                <w:rFonts w:ascii="함초롬바탕" w:eastAsia="함초롬바탕" w:hAnsi="함초롬바탕" w:cs="함초롬바탕" w:hint="default"/>
                <w:sz w:val="30"/>
                <w:rtl w:val="off"/>
              </w:rPr>
            </w:pPr>
            <w:r>
              <w:rPr>
                <w:rFonts w:ascii="함초롬바탕" w:eastAsia="함초롬바탕" w:hAnsi="함초롬바탕" w:cs="함초롬바탕" w:hint="default"/>
                <w:b/>
                <w:sz w:val="44"/>
              </w:rPr>
              <w:t xml:space="preserve"> Investment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sz w:val="20"/>
          <w:szCs w:val="20"/>
          <w:rtl w:val="off"/>
        </w:rPr>
      </w:pPr>
    </w:p>
    <w:p>
      <w:pPr>
        <w:tabs>
          <w:tab w:val="left" w:pos="540"/>
        </w:tabs>
        <w:rPr>
          <w:caps w:val="off"/>
          <w:lang w:eastAsia="ko-KR"/>
          <w:rFonts w:ascii="함초롬바탕" w:eastAsia="함초롬바탕" w:hAnsi="함초롬바탕" w:cs="함초롬바탕" w:hint="eastAsia"/>
          <w:b w:val="0"/>
          <w:i w:val="0"/>
          <w:sz w:val="22"/>
          <w:szCs w:val="22"/>
          <w:rtl w:val="off"/>
        </w:rPr>
      </w:pPr>
    </w:p>
    <w:p>
      <w:pPr>
        <w:tabs>
          <w:tab w:val="left" w:pos="540"/>
        </w:tabs>
        <w:rPr>
          <w:caps w:val="off"/>
          <w:lang w:eastAsia="ko-KR"/>
          <w:rFonts w:ascii="함초롬바탕" w:eastAsia="함초롬바탕" w:hAnsi="함초롬바탕" w:cs="함초롬바탕" w:hint="eastAsia"/>
          <w:b w:val="0"/>
          <w:i w:val="0"/>
          <w:sz w:val="22"/>
          <w:szCs w:val="22"/>
          <w:rtl w:val="off"/>
        </w:rPr>
      </w:pPr>
      <w:r>
        <w:rPr>
          <w:rFonts w:ascii="함초롬바탕" w:eastAsia="함초롬바탕" w:hAnsi="함초롬바탕" w:cs="함초롬바탕" w:hint="default"/>
          <w:sz w:val="22"/>
          <w:szCs w:val="22"/>
        </w:rPr>
        <w:t>서울특별시 성북구 삼선교로 24길 17</w:t>
      </w:r>
    </w:p>
    <w:p>
      <w:pPr>
        <w:pStyle w:val="ListParagraph"/>
        <w:ind w:leftChars="0" w:left="800"/>
        <w:jc w:val="center"/>
        <w:tabs>
          <w:tab w:val="right" w:pos="1400" w:leader="middleDot"/>
          <w:tab w:val="right" w:pos="40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4"/>
          <w:szCs w:val="34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44"/>
          <w:szCs w:val="44"/>
          <w:rtl w:val="off"/>
        </w:rPr>
        <w:t>목차</w:t>
      </w:r>
    </w:p>
    <w:p>
      <w:pPr>
        <w:pStyle w:val="ListParagraph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rFonts w:ascii="함초롬바탕" w:eastAsia="함초롬바탕" w:hAnsi="함초롬바탕" w:cs="함초롬바탕" w:hint="default"/>
          <w:sz w:val="30"/>
          <w:szCs w:val="30"/>
        </w:rPr>
        <w:t>기업 개요 및 투자 요</w:t>
      </w:r>
      <w:r>
        <w:rPr>
          <w:lang w:eastAsia="ko-KR"/>
          <w:rFonts w:ascii="함초롬바탕" w:eastAsia="함초롬바탕" w:hAnsi="함초롬바탕" w:cs="함초롬바탕" w:hint="default"/>
          <w:sz w:val="30"/>
          <w:szCs w:val="30"/>
          <w:rtl w:val="off"/>
        </w:rPr>
        <w:t>약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1</w:t>
      </w:r>
    </w:p>
    <w:p>
      <w:pPr>
        <w:pStyle w:val="ListParagraph"/>
        <w:numPr>
          <w:ilvl w:val="0"/>
          <w:numId w:val="2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기업 개요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2</w:t>
      </w:r>
    </w:p>
    <w:p>
      <w:pPr>
        <w:pStyle w:val="ListParagraph"/>
        <w:numPr>
          <w:ilvl w:val="0"/>
          <w:numId w:val="2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경영진 및 지배 구조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3</w:t>
      </w:r>
    </w:p>
    <w:p>
      <w:pPr>
        <w:pStyle w:val="ListParagraph"/>
        <w:numPr>
          <w:ilvl w:val="0"/>
          <w:numId w:val="2"/>
        </w:numPr>
        <w:tabs>
          <w:tab w:val="right" w:pos="8600" w:leader="middleDot"/>
        </w:tabs>
        <w:spacing w:line="480"/>
        <w:rPr>
          <w:rFonts w:ascii="함초롬바탕" w:eastAsia="함초롬바탕" w:hAnsi="함초롬바탕" w:cs="함초롬바탕" w:hint="default"/>
          <w:sz w:val="24"/>
          <w:szCs w:val="24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투자 포인트 요약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4</w:t>
      </w:r>
    </w:p>
    <w:p>
      <w:pPr>
        <w:pStyle w:val="ListParagraph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rFonts w:ascii="함초롬바탕" w:eastAsia="함초롬바탕" w:hAnsi="함초롬바탕" w:cs="함초롬바탕" w:hint="default"/>
          <w:sz w:val="30"/>
          <w:szCs w:val="30"/>
        </w:rPr>
        <w:t>사업 및 재무 분석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5</w:t>
      </w:r>
    </w:p>
    <w:p>
      <w:pPr>
        <w:pStyle w:val="ListParagraph"/>
        <w:numPr>
          <w:ilvl w:val="0"/>
          <w:numId w:val="3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핵심 사업 분석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6</w:t>
      </w:r>
    </w:p>
    <w:p>
      <w:pPr>
        <w:pStyle w:val="ListParagraph"/>
        <w:numPr>
          <w:ilvl w:val="0"/>
          <w:numId w:val="3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재무 성과 및 추이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7</w:t>
      </w:r>
    </w:p>
    <w:p>
      <w:pPr>
        <w:pStyle w:val="ListParagraph"/>
        <w:numPr>
          <w:ilvl w:val="0"/>
          <w:numId w:val="3"/>
        </w:numPr>
        <w:tabs>
          <w:tab w:val="right" w:pos="8600" w:leader="middleDot"/>
        </w:tabs>
        <w:spacing w:line="480"/>
        <w:rPr>
          <w:rFonts w:ascii="함초롬바탕" w:eastAsia="함초롬바탕" w:hAnsi="함초롬바탕" w:cs="함초롬바탕" w:hint="default"/>
          <w:sz w:val="24"/>
          <w:szCs w:val="24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비용 구조 및 수익성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8</w:t>
      </w:r>
    </w:p>
    <w:p>
      <w:pPr>
        <w:pStyle w:val="ListParagraph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30"/>
          <w:szCs w:val="30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30"/>
          <w:szCs w:val="30"/>
        </w:rPr>
        <w:t>산업 및 시장 동향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9</w:t>
      </w:r>
    </w:p>
    <w:p>
      <w:pPr>
        <w:pStyle w:val="ListParagraph"/>
        <w:numPr>
          <w:ilvl w:val="0"/>
          <w:numId w:val="4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시장 규모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</w:p>
    <w:p>
      <w:pPr>
        <w:pStyle w:val="ListParagraph"/>
        <w:numPr>
          <w:ilvl w:val="0"/>
          <w:numId w:val="4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산업 성장성 분석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10</w:t>
      </w:r>
    </w:p>
    <w:p>
      <w:pPr>
        <w:pStyle w:val="ListParagraph"/>
        <w:numPr>
          <w:ilvl w:val="0"/>
          <w:numId w:val="4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경쟁 환경 분석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11</w:t>
      </w:r>
    </w:p>
    <w:p>
      <w:pPr>
        <w:tabs>
          <w:tab w:val="right" w:pos="8600" w:leader="middleDot"/>
        </w:tabs>
        <w:spacing w:line="480"/>
        <w:rPr>
          <w:rFonts w:ascii="함초롬바탕" w:eastAsia="함초롬바탕" w:hAnsi="함초롬바탕" w:cs="함초롬바탕" w:hint="default"/>
          <w:sz w:val="24"/>
          <w:szCs w:val="24"/>
        </w:rPr>
      </w:pPr>
    </w:p>
    <w:p>
      <w:pPr>
        <w:pStyle w:val="ListParagraph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30"/>
          <w:szCs w:val="30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30"/>
          <w:szCs w:val="30"/>
        </w:rPr>
        <w:t>리스크 및 기회 요인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12</w:t>
      </w:r>
    </w:p>
    <w:p>
      <w:pPr>
        <w:pStyle w:val="ListParagraph"/>
        <w:numPr>
          <w:ilvl w:val="0"/>
          <w:numId w:val="5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주요 리스크 요인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13</w:t>
      </w:r>
    </w:p>
    <w:p>
      <w:pPr>
        <w:pStyle w:val="ListParagraph"/>
        <w:numPr>
          <w:ilvl w:val="0"/>
          <w:numId w:val="5"/>
        </w:numPr>
        <w:tabs>
          <w:tab w:val="right" w:pos="8600" w:leader="middleDot"/>
        </w:tabs>
        <w:spacing w:line="480"/>
        <w:rPr>
          <w:rFonts w:ascii="함초롬바탕" w:eastAsia="함초롬바탕" w:hAnsi="함초롬바탕" w:cs="함초롬바탕" w:hint="default"/>
          <w:sz w:val="24"/>
          <w:szCs w:val="24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성장 기회 및 미래 전략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14</w:t>
      </w:r>
    </w:p>
    <w:p>
      <w:pPr>
        <w:pStyle w:val="ListParagraph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30"/>
          <w:szCs w:val="30"/>
          <w:rtl w:val="off"/>
        </w:rPr>
        <w:t>벨류에이션 및 결론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15</w:t>
      </w:r>
    </w:p>
    <w:p>
      <w:pPr>
        <w:pStyle w:val="ListParagraph"/>
        <w:numPr>
          <w:ilvl w:val="0"/>
          <w:numId w:val="6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가치 평가 모델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16</w:t>
      </w:r>
    </w:p>
    <w:p>
      <w:pPr>
        <w:pStyle w:val="ListParagraph"/>
        <w:numPr>
          <w:ilvl w:val="0"/>
          <w:numId w:val="6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목표 주가 및 투자 의견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17</w:t>
      </w:r>
    </w:p>
    <w:p>
      <w:pPr>
        <w:pStyle w:val="ListParagraph"/>
        <w:numPr>
          <w:ilvl w:val="0"/>
          <w:numId w:val="6"/>
        </w:numPr>
        <w:tabs>
          <w:tab w:val="right" w:pos="8600" w:leader="middleDot"/>
        </w:tabs>
        <w:spacing w:line="480"/>
        <w:rPr>
          <w:rFonts w:ascii="함초롬바탕" w:eastAsia="함초롬바탕" w:hAnsi="함초롬바탕" w:cs="함초롬바탕" w:hint="default"/>
          <w:sz w:val="24"/>
          <w:szCs w:val="24"/>
        </w:rPr>
      </w:pP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투자 시나리오 분석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</w:p>
    <w:p>
      <w:pPr>
        <w:pStyle w:val="ListParagraph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30"/>
          <w:szCs w:val="30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30"/>
          <w:szCs w:val="30"/>
        </w:rPr>
        <w:t>부록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18</w:t>
      </w:r>
    </w:p>
    <w:p>
      <w:pPr>
        <w:pStyle w:val="ListParagraph"/>
        <w:numPr>
          <w:ilvl w:val="0"/>
          <w:numId w:val="7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재무제표 요약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19</w:t>
      </w:r>
    </w:p>
    <w:p>
      <w:pPr>
        <w:pStyle w:val="ListParagraph"/>
        <w:numPr>
          <w:ilvl w:val="0"/>
          <w:numId w:val="7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재무상태표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20</w:t>
      </w:r>
    </w:p>
    <w:p>
      <w:p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</w:p>
    <w:p>
      <w:p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</w:p>
    <w:p>
      <w:p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</w:p>
    <w:p>
      <w:p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</w:p>
    <w:tbl>
      <w:tblPr>
        <w:tblStyle w:val="TableGrid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0"/>
                <w:szCs w:val="30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Ⅰ</w:t>
            </w: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0"/>
                <w:szCs w:val="30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0"/>
                <w:szCs w:val="30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 xml:space="preserve">  기업 개요 및 투자요약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tbl>
      <w:tblPr>
        <w:tblStyle w:val="TableGrid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기업 개요</w:t>
            </w:r>
          </w:p>
        </w:tc>
      </w:tr>
    </w:tbl>
    <w:p>
      <w:pPr>
        <w:pStyle w:val="ListParagraph"/>
        <w:numPr>
          <w:ilvl w:val="0"/>
          <w:numId w:val="8"/>
        </w:numPr>
        <w:spacing w:line="360"/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기업명: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그린퓨처  주식회사</w:t>
      </w:r>
    </w:p>
    <w:p>
      <w:pPr>
        <w:pStyle w:val="ListParagraph"/>
        <w:numPr>
          <w:ilvl w:val="0"/>
          <w:numId w:val="8"/>
        </w:numPr>
        <w:spacing w:line="360"/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대표자: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rtl w:val="off"/>
        </w:rPr>
        <w:t xml:space="preserve"> 이재민</w:t>
      </w:r>
    </w:p>
    <w:p>
      <w:pPr>
        <w:pStyle w:val="ListParagraph"/>
        <w:numPr>
          <w:ilvl w:val="0"/>
          <w:numId w:val="8"/>
        </w:numPr>
        <w:spacing w:line="360"/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주요 사업장: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rtl w:val="off"/>
        </w:rPr>
        <w:t xml:space="preserve"> 강원도 강릉시 친환경산단로 88</w:t>
      </w:r>
    </w:p>
    <w:p>
      <w:pPr>
        <w:pStyle w:val="ListParagraph"/>
        <w:numPr>
          <w:ilvl w:val="0"/>
          <w:numId w:val="8"/>
        </w:numPr>
        <w:spacing w:line="360"/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주요 사업: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rtl w:val="off"/>
        </w:rPr>
        <w:t xml:space="preserve"> 풍력, 태양광 발전, 에너지저장시스템(ESS)</w:t>
      </w:r>
    </w:p>
    <w:p>
      <w:pPr>
        <w:pStyle w:val="ListParagraph"/>
        <w:numPr>
          <w:ilvl w:val="0"/>
          <w:numId w:val="8"/>
        </w:numPr>
        <w:spacing w:line="360"/>
        <w:rPr>
          <w:lang/>
          <w:rFonts w:ascii="함초롬바탕" w:eastAsia="함초롬바탕" w:hAnsi="함초롬바탕" w:cs="함초롬바탕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주요 고객사/계약처: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rtl w:val="off"/>
        </w:rPr>
        <w:t xml:space="preserve"> 한전, LG에너지솔루션, 글로벌 재생에너지펀드</w:t>
      </w:r>
    </w:p>
    <w:p>
      <w:pPr>
        <w:pStyle w:val="ListParagraph"/>
        <w:numPr>
          <w:ilvl w:val="0"/>
          <w:numId w:val="8"/>
        </w:numPr>
        <w:spacing w:line="360"/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주주 구성:</w:t>
      </w:r>
    </w:p>
    <w:p>
      <w:pPr>
        <w:pStyle w:val="ListParagraph"/>
        <w:numPr>
          <w:ilvl w:val="1"/>
          <w:numId w:val="8"/>
        </w:numPr>
        <w:spacing w:line="360"/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최대주주: HS 에너지홀딩스 (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rtl w:val="off"/>
        </w:rPr>
        <w:t>32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%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rtl w:val="off"/>
        </w:rPr>
        <w:t>)</w:t>
      </w:r>
    </w:p>
    <w:p>
      <w:pPr>
        <w:pStyle w:val="ListParagraph"/>
        <w:numPr>
          <w:ilvl w:val="1"/>
          <w:numId w:val="8"/>
        </w:numPr>
        <w:spacing w:line="360"/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주요 재무적 투자자: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rtl w:val="off"/>
        </w:rPr>
        <w:t>국민연금(12%), 블랙록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(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rtl w:val="off"/>
        </w:rPr>
        <w:t>8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%)</w:t>
      </w:r>
    </w:p>
    <w:p>
      <w:pPr>
        <w:pStyle w:val="ListParagraph"/>
        <w:numPr>
          <w:ilvl w:val="0"/>
          <w:numId w:val="8"/>
        </w:numPr>
        <w:spacing w:line="360"/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사업 규모:</w:t>
      </w:r>
    </w:p>
    <w:p>
      <w:pPr>
        <w:pStyle w:val="ListParagraph"/>
        <w:numPr>
          <w:ilvl w:val="1"/>
          <w:numId w:val="8"/>
        </w:numPr>
        <w:spacing w:line="360"/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매출: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rtl w:val="off"/>
        </w:rPr>
        <w:t>28,000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억 원</w:t>
      </w:r>
    </w:p>
    <w:p>
      <w:pPr>
        <w:pStyle w:val="ListParagraph"/>
        <w:numPr>
          <w:ilvl w:val="1"/>
          <w:numId w:val="8"/>
        </w:numPr>
        <w:spacing w:line="360"/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영업이익: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rtl w:val="off"/>
        </w:rPr>
        <w:t>3,100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억 원</w:t>
      </w:r>
    </w:p>
    <w:p>
      <w:pPr>
        <w:pStyle w:val="ListParagraph"/>
        <w:numPr>
          <w:ilvl w:val="1"/>
          <w:numId w:val="8"/>
        </w:numPr>
        <w:spacing w:line="360"/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직원 수: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rtl w:val="off"/>
        </w:rPr>
        <w:t>3900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명</w:t>
      </w:r>
    </w:p>
    <w:p>
      <w:pPr>
        <w:spacing w:line="360"/>
        <w:rPr>
          <w:lang/>
          <w:rFonts w:ascii="함초롬바탕" w:eastAsia="함초롬바탕" w:hAnsi="함초롬바탕" w:cs="함초롬바탕"/>
          <w:rtl w:val="off"/>
        </w:rPr>
      </w:pPr>
    </w:p>
    <w:p>
      <w:pPr>
        <w:spacing w:line="360"/>
        <w:rPr>
          <w:rFonts w:ascii="함초롬바탕" w:eastAsia="함초롬바탕" w:hAnsi="함초롬바탕" w:cs="함초롬바탕" w:hint="default"/>
        </w:rPr>
      </w:pPr>
    </w:p>
    <w:tbl>
      <w:tblPr>
        <w:tblStyle w:val="TableGrid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경영진 및 지배 구조</w:t>
            </w:r>
          </w:p>
        </w:tc>
      </w:tr>
    </w:tbl>
    <w:p>
      <w:pPr>
        <w:pStyle w:val="ListParagraph"/>
        <w:numPr>
          <w:ilvl w:val="0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이사회 구성</w:t>
      </w:r>
    </w:p>
    <w:p>
      <w:pPr>
        <w:pStyle w:val="ListParagraph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CEO(창업주): 이재민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— 기업 경영 전반 총괄, 대규모 재생에너지 프로젝트 개발/운영 경험.</w:t>
      </w:r>
    </w:p>
    <w:p>
      <w:pPr>
        <w:pStyle w:val="ListParagraph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CFO(사내 이사): 박서진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—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前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HS증권 기업금융팀장 출신, 재무·회계 및 자본조달 총괄(프로젝트 파이낸싱/그린본드 경험).</w:t>
      </w:r>
    </w:p>
    <w:p>
      <w:pPr>
        <w:pStyle w:val="ListParagraph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CTO(사내 이사): 한지훈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—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前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한국에너지연구원 수석연구원 출신, 기술개발·R&amp;D 전략 총괄(풍력·태양광·ESS 통합 최적화).</w:t>
      </w:r>
    </w:p>
    <w:p>
      <w:pPr>
        <w:pStyle w:val="ListParagraph"/>
        <w:numPr>
          <w:ilvl w:val="1"/>
          <w:numId w:val="9"/>
        </w:num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사외이사: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윤태경(ESG·지속가능경영), 이지은(법률·규제) — 감사위원회·내부거래위원회 참여.</w:t>
      </w:r>
    </w:p>
    <w:p>
      <w:pPr>
        <w:pStyle w:val="ListParagraph"/>
        <w:numPr>
          <w:ilvl w:val="0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주요 주주 현황</w:t>
      </w:r>
    </w:p>
    <w:p>
      <w:pPr>
        <w:pStyle w:val="ListParagraph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창업주 및 특수관계인: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28%</w:t>
      </w:r>
    </w:p>
    <w:p>
      <w:pPr>
        <w:pStyle w:val="ListParagraph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전략적 투자자(SI):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32%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—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HS 에너지홀딩스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(최대주주)</w:t>
      </w:r>
    </w:p>
    <w:p>
      <w:pPr>
        <w:pStyle w:val="ListParagraph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재무적 투자자(FI):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30%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— 국민연금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12%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, 블랙록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8%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, 글로벌 ESG 인프라펀드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10%</w:t>
      </w:r>
    </w:p>
    <w:p>
      <w:pPr>
        <w:pStyle w:val="ListParagraph"/>
        <w:numPr>
          <w:ilvl w:val="1"/>
          <w:numId w:val="9"/>
        </w:num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임직원 스톡옵션: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10%</w:t>
      </w:r>
    </w:p>
    <w:p>
      <w:pPr>
        <w:pStyle w:val="ListParagraph"/>
        <w:numPr>
          <w:ilvl w:val="0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지배 구조 특징</w:t>
      </w:r>
    </w:p>
    <w:p>
      <w:pPr>
        <w:pStyle w:val="ListParagraph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창업팀 중심의 안정적 경영권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유지(장기 락업·동반매각 제한 조항 포함).</w:t>
      </w:r>
    </w:p>
    <w:p>
      <w:pPr>
        <w:pStyle w:val="ListParagraph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의결권 차등 없음(1주 1의결권)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, 주주 간 동등 대우 원칙.</w:t>
      </w:r>
    </w:p>
    <w:p>
      <w:pPr>
        <w:pStyle w:val="ListParagraph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사외이사 2명 포함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으로 경영 투명성 강화,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감사위원회 독립 운영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및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내부거래위원회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설치.</w:t>
      </w:r>
    </w:p>
    <w:p>
      <w:pPr>
        <w:pStyle w:val="ListParagraph"/>
        <w:numPr>
          <w:ilvl w:val="1"/>
          <w:numId w:val="9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ESG·규제 리스크 상시 점검 체계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(기후공시/온실가스 감축 목표 연동 보상).</w:t>
      </w:r>
    </w:p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</w:p>
    <w:tbl>
      <w:tblPr>
        <w:tblStyle w:val="TableGrid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3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투자 포인트 요약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그린퓨처는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친환경·재생에너지 시장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의 핵심 성장 동력을 보유한 선도 기업이다. 독보적인 기술력과 안정적인 사업 구조를 바탕으로 높은 투자 매력도를 보유한다.</w:t>
      </w:r>
    </w:p>
    <w:p>
      <w:pPr>
        <w:pStyle w:val="ListParagraph"/>
        <w:numPr>
          <w:ilvl w:val="0"/>
          <w:numId w:val="10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견조한 성장세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: 2024년 4분기 매출액은 전년 동기 대비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18% 증가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. 이는 국내 재생에너지 시장 평균 성장률(11%)을 상회하는 수치이며, 성장 모멘텀이 강화되고 있음을 의미한다.</w:t>
      </w:r>
    </w:p>
    <w:p>
      <w:pPr>
        <w:pStyle w:val="ListParagraph"/>
        <w:numPr>
          <w:ilvl w:val="0"/>
          <w:numId w:val="10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높은 수익률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: 2025년 2분기 영업이익률은 내부 전망에 따라 11.8%로 예상된다. 이는 ESS(에너지저장장치)와 수소 플랜트의 원가 절감 및 효율적 프로젝트 관리에 기인한다.</w:t>
      </w:r>
    </w:p>
    <w:p>
      <w:pPr>
        <w:pStyle w:val="ListParagraph"/>
        <w:numPr>
          <w:ilvl w:val="0"/>
          <w:numId w:val="10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독점 기술력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: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ESS 통합 관리 플랫폼 ‘GreenMax’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기술을 통해 경쟁사 대비 발전 효율을 15% 이상 개선. 이 기술은 향후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5년간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국내외 시장 진입 장벽을 높이는 핵심적인 역할을 수행할 전망이다.</w:t>
      </w:r>
    </w:p>
    <w:p>
      <w:pPr>
        <w:pStyle w:val="ListParagraph"/>
        <w:numPr>
          <w:ilvl w:val="0"/>
          <w:numId w:val="10"/>
        </w:numPr>
        <w:rPr>
          <w:lang w:eastAsia="ko-KR"/>
          <w:rFonts w:hint="eastAsia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안정적 수익 모델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: 국내 대기업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7개사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(한전, LG에너지솔루션, 현대제철 등)를 주요 고객으로 확보. 장기 PPA(전력구매계약) 및 구독형 유지보수 계약을 기반으로 안정적인 현금 흐름을 창출하며, 외부 경기 변동에도 흔들리지 않는 사업 안정성을 제공한다.</w:t>
      </w:r>
    </w:p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</w:p>
    <w:tbl>
      <w:tblPr>
        <w:tblStyle w:val="TableGrid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Ⅱ</w:t>
            </w: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  <w:shd w:val="clear" w:color="000000" w:fill="auto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 xml:space="preserve"> 사업 및 재무 분석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4"/>
          <w:szCs w:val="24"/>
        </w:rPr>
      </w:pPr>
    </w:p>
    <w:tbl>
      <w:tblPr>
        <w:tblStyle w:val="TableGrid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핵심 사업 부문 분석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그린퓨처의 핵심 사업 부문은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재생에너지 발전 및 에너지저장시스템(ESS)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이다.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이는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친환경 전력 생산과 안정적인 전력 공급 능력을 고객에게 제공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하는 데 중점을 두고 운영된다.</w:t>
      </w:r>
    </w:p>
    <w:p>
      <w:pPr>
        <w:pStyle w:val="ListParagraph"/>
        <w:numPr>
          <w:ilvl w:val="0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주요 제품 및 서비스</w:t>
      </w:r>
    </w:p>
    <w:p>
      <w:pPr>
        <w:pStyle w:val="ListParagraph"/>
        <w:numPr>
          <w:ilvl w:val="1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풍력·태양광 발전소 운영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: 친환경 전력을 대규모로 생산하여 국가 전력망에 공급하는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발전 서비스</w:t>
      </w:r>
    </w:p>
    <w:p>
      <w:pPr>
        <w:pStyle w:val="ListParagraph"/>
        <w:numPr>
          <w:ilvl w:val="1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GreenMax ESS 플랫폼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: 전력 저장·관리 및 수요 예측 기능을 제공하는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통합 에너지관리 솔루션</w:t>
      </w:r>
    </w:p>
    <w:p>
      <w:pPr>
        <w:pStyle w:val="ListParagraph"/>
        <w:numPr>
          <w:ilvl w:val="0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경쟁 우위</w:t>
      </w:r>
    </w:p>
    <w:p>
      <w:pPr>
        <w:pStyle w:val="ListParagraph"/>
        <w:numPr>
          <w:ilvl w:val="1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차별화된 경쟁력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: 독자적인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ESS 통합 관리 기술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과 장기 PPA 계약 포트폴리오를 통해 안정적 매출 구조를 확보</w:t>
      </w:r>
    </w:p>
    <w:p>
      <w:pPr>
        <w:pStyle w:val="ListParagraph"/>
        <w:numPr>
          <w:ilvl w:val="1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시장 내 위치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: 2024년 기준, 국내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재생에너지 발전 시장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에서 9.8%의 점유율을 차지하며 업계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3위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에 위치</w:t>
      </w:r>
    </w:p>
    <w:p>
      <w:pPr>
        <w:pStyle w:val="ListParagraph"/>
        <w:numPr>
          <w:ilvl w:val="0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성장 동력</w:t>
      </w:r>
    </w:p>
    <w:p>
      <w:pPr>
        <w:pStyle w:val="ListParagraph"/>
        <w:numPr>
          <w:ilvl w:val="1"/>
          <w:numId w:val="11"/>
        </w:num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해외 시장 진출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: 북미 및 동남아시아 친환경 프로젝트 입찰 참여</w:t>
      </w:r>
    </w:p>
    <w:p>
      <w:pPr>
        <w:pStyle w:val="ListParagraph"/>
        <w:numPr>
          <w:ilvl w:val="1"/>
          <w:numId w:val="11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신기술 도입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: 차세대 고밀도 ESS 배터리와 AI 기반 수요예측 기술 도입을 통해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에너지솔루션 사업부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의 성장세를 더욱 가속화할 전망</w:t>
      </w:r>
    </w:p>
    <w:p>
      <w:pP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</w:p>
    <w:tbl>
      <w:tblPr>
        <w:tblStyle w:val="TableGrid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재무 성과 및 추이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그린퓨처 은 최근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rtl w:val="off"/>
        </w:rPr>
        <w:t>3년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간 지속적인 매출 성장을 기록하며 재무 건전성을 확보.</w:t>
      </w:r>
    </w:p>
    <w:p>
      <w:pPr>
        <w:pStyle w:val="ListParagraph"/>
        <w:numPr>
          <w:ilvl w:val="0"/>
          <w:numId w:val="12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매출 및 영업이익 추이:</w:t>
      </w:r>
    </w:p>
    <w:p>
      <w:pPr>
        <w:pStyle w:val="ListParagraph"/>
        <w:numPr>
          <w:ilvl w:val="1"/>
          <w:numId w:val="12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지난 3년간 연평균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rtl w:val="off"/>
        </w:rPr>
        <w:t xml:space="preserve"> 12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%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이상의 성장률을 기록하며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 재무 건전성을 확보. 특히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rtl w:val="off"/>
        </w:rPr>
        <w:t xml:space="preserve"> 2023년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에는 영업이익이 전년 대비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rtl w:val="off"/>
        </w:rPr>
        <w:t>15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%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급증.</w:t>
      </w:r>
    </w:p>
    <w:tbl>
      <w:tblPr>
        <w:tblStyle w:val="a0"/>
        <w:tblLook w:val="04A0" w:firstRow="1" w:lastRow="0" w:firstColumn="1" w:lastColumn="0" w:noHBand="0" w:noVBand="1"/>
        <w:tblLayout w:type="autofit"/>
      </w:tblPr>
      <w:tblGrid>
        <w:gridCol w:w="2214"/>
        <w:gridCol w:w="2214"/>
        <w:gridCol w:w="2214"/>
        <w:gridCol w:w="221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구분</w:t>
            </w:r>
          </w:p>
        </w:tc>
        <w:tc>
          <w:tcPr>
            <w:tcW w:w="221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2022년</w:t>
            </w:r>
          </w:p>
        </w:tc>
        <w:tc>
          <w:tcPr>
            <w:tcW w:w="221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2023년</w:t>
            </w:r>
          </w:p>
        </w:tc>
        <w:tc>
          <w:tcPr>
            <w:tcW w:w="221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2024년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매출액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23,500억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25,000억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28,000억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영업이익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2,600억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3,000억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rtl w:val="off"/>
              </w:rPr>
              <w:t>3,100억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순이익</w:t>
            </w:r>
          </w:p>
        </w:tc>
        <w:tc>
          <w:tcPr>
            <w:tcW w:w="2214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1,800억</w:t>
            </w:r>
          </w:p>
        </w:tc>
        <w:tc>
          <w:tcPr>
            <w:tcW w:w="2214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1,800억</w:t>
            </w:r>
          </w:p>
        </w:tc>
        <w:tc>
          <w:tcPr>
            <w:tcW w:w="2214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1,800억</w:t>
            </w:r>
          </w:p>
        </w:tc>
      </w:tr>
    </w:tbl>
    <w:p>
      <w:pPr>
        <w:pStyle w:val="ListParagraph"/>
        <w:numPr>
          <w:ilvl w:val="0"/>
          <w:numId w:val="13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주요 재무 비율 분석</w:t>
      </w:r>
    </w:p>
    <w:p>
      <w:pPr>
        <w:pStyle w:val="ListParagraph"/>
        <w:numPr>
          <w:ilvl w:val="1"/>
          <w:numId w:val="13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수익성 지표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: 2024년 기준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ROE 13.5%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(업종 평균 10.2%) 상회. 순이익률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7.9%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기록.</w:t>
      </w:r>
    </w:p>
    <w:p>
      <w:pPr>
        <w:pStyle w:val="ListParagraph"/>
        <w:numPr>
          <w:ilvl w:val="1"/>
          <w:numId w:val="13"/>
        </w:numP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안정성 지표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: 부채비율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62%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(업계 평균 75%)로 안정적. 유동비율 148%로 단기 지급 능력 또한 매우 양호.</w:t>
      </w:r>
    </w:p>
    <w:tbl>
      <w:tblPr>
        <w:tblStyle w:val="TableGrid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3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비용 구조 및 수익성</w:t>
            </w:r>
          </w:p>
        </w:tc>
      </w:tr>
    </w:tbl>
    <w:p>
      <w:pPr>
        <w:rPr/>
      </w:pPr>
    </w:p>
    <w:p>
      <w:pPr>
        <w:pStyle w:val="ListParagraph"/>
        <w:numPr>
          <w:ilvl w:val="0"/>
          <w:numId w:val="14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매출원가 및 판관비 상세 분석</w:t>
      </w:r>
    </w:p>
    <w:p>
      <w:pPr>
        <w:pStyle w:val="ListParagraph"/>
        <w:numPr>
          <w:ilvl w:val="1"/>
          <w:numId w:val="14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매출원가: 주요 항목은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원자재(태양광 패널·풍력 터빈) 조달 및 설치비용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. 최근 3년간 원가율은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58% 수준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으로 안정적. 이는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장기 구매계약·현지화 전략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을 통해 비용 효율성을 개선한 결과.</w:t>
      </w:r>
    </w:p>
    <w:p>
      <w:pPr>
        <w:pStyle w:val="ListParagraph"/>
        <w:numPr>
          <w:ilvl w:val="1"/>
          <w:numId w:val="14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판매관리비: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인건비·R&amp;D(55%)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, 마케팅·영업비(25%)로 구성. 특히, 신규 해외시장 확보를 위한 마케팅 비용이 전년 대비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12% 증가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.</w:t>
      </w:r>
    </w:p>
    <w:p>
      <w:pPr>
        <w:pStyle w:val="ListParagraph"/>
        <w:numPr>
          <w:ilvl w:val="0"/>
          <w:numId w:val="14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인건비 효율성</w:t>
      </w:r>
    </w:p>
    <w:p>
      <w:pPr>
        <w:pStyle w:val="ListParagraph"/>
        <w:numPr>
          <w:ilvl w:val="1"/>
          <w:numId w:val="14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2024년 기준, 직원 1인당 평균 매출액은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7.2억 원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. 이는 업종 평균 대비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+9%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높은 생산성을 기록.</w:t>
      </w:r>
    </w:p>
    <w:p>
      <w:pPr>
        <w:pStyle w:val="ListParagraph"/>
        <w:numPr>
          <w:ilvl w:val="0"/>
          <w:numId w:val="14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손익분기점 분석</w:t>
      </w:r>
    </w:p>
    <w:p>
      <w:pPr>
        <w:pStyle w:val="ListParagraph"/>
        <w:numPr>
          <w:ilvl w:val="1"/>
          <w:numId w:val="14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그린퓨처의 손익분기점 매출액은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21,000억 원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으로, 현재 매출액 대비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25% 낮은 수준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. 이는 매출 하락 시에도 안정적인 수익을 유지할 수 있음을 의미.</w:t>
      </w:r>
    </w:p>
    <w:p>
      <w:pPr>
        <w:pStyle w:val="ListParagraph"/>
        <w:numPr>
          <w:ilvl w:val="0"/>
          <w:numId w:val="14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핵심 제품 수익성</w:t>
      </w:r>
    </w:p>
    <w:p>
      <w:pPr>
        <w:pStyle w:val="ListParagraph"/>
        <w:numPr>
          <w:ilvl w:val="1"/>
          <w:numId w:val="14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핵심 제품인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GreenMax ESS 플랫폼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의 영업이익률은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16%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. 이는 내부 목표치인 15%를 초과 달성.</w:t>
      </w:r>
    </w:p>
    <w:p>
      <w:pPr>
        <w:rPr>
          <w:lang/>
          <w:rFonts w:ascii="함초롬바탕" w:eastAsia="함초롬바탕" w:hAnsi="함초롬바탕" w:cs="함초롬바탕"/>
          <w:sz w:val="28"/>
          <w:szCs w:val="28"/>
          <w:rtl w:val="off"/>
        </w:rPr>
      </w:pPr>
    </w:p>
    <w:p>
      <w:pPr>
        <w:rPr>
          <w:lang/>
          <w:rFonts w:ascii="함초롬바탕" w:eastAsia="함초롬바탕" w:hAnsi="함초롬바탕" w:cs="함초롬바탕"/>
          <w:sz w:val="28"/>
          <w:szCs w:val="28"/>
          <w:rtl w:val="off"/>
        </w:rPr>
      </w:pPr>
    </w:p>
    <w:p>
      <w:pPr>
        <w:rPr>
          <w:lang/>
          <w:rFonts w:ascii="함초롬바탕" w:eastAsia="함초롬바탕" w:hAnsi="함초롬바탕" w:cs="함초롬바탕"/>
          <w:sz w:val="28"/>
          <w:szCs w:val="28"/>
          <w:rtl w:val="off"/>
        </w:rPr>
      </w:pPr>
    </w:p>
    <w:p>
      <w:pPr>
        <w:rPr>
          <w:lang/>
          <w:rFonts w:ascii="함초롬바탕" w:eastAsia="함초롬바탕" w:hAnsi="함초롬바탕" w:cs="함초롬바탕"/>
          <w:sz w:val="28"/>
          <w:szCs w:val="28"/>
          <w:rtl w:val="off"/>
        </w:rPr>
      </w:pPr>
    </w:p>
    <w:p>
      <w:pPr>
        <w:rPr>
          <w:lang/>
          <w:rFonts w:ascii="함초롬바탕" w:eastAsia="함초롬바탕" w:hAnsi="함초롬바탕" w:cs="함초롬바탕"/>
          <w:sz w:val="28"/>
          <w:szCs w:val="28"/>
          <w:rtl w:val="off"/>
        </w:rPr>
      </w:pPr>
    </w:p>
    <w:p>
      <w:pPr>
        <w:rPr>
          <w:lang/>
          <w:rFonts w:ascii="함초롬바탕" w:eastAsia="함초롬바탕" w:hAnsi="함초롬바탕" w:cs="함초롬바탕"/>
          <w:sz w:val="28"/>
          <w:szCs w:val="28"/>
          <w:rtl w:val="off"/>
        </w:rPr>
      </w:pPr>
    </w:p>
    <w:p>
      <w:pPr>
        <w:rPr>
          <w:lang/>
          <w:rFonts w:ascii="함초롬바탕" w:eastAsia="함초롬바탕" w:hAnsi="함초롬바탕" w:cs="함초롬바탕"/>
          <w:sz w:val="28"/>
          <w:szCs w:val="28"/>
          <w:rtl w:val="off"/>
        </w:rPr>
      </w:pPr>
    </w:p>
    <w:tbl>
      <w:tblPr>
        <w:tblStyle w:val="TableGrid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Ⅱ</w:t>
            </w: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  <w:shd w:val="clear" w:color="000000" w:fill="auto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 xml:space="preserve"> 산업 및 시장 동향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</w:p>
    <w:tbl>
      <w:tblPr>
        <w:tblStyle w:val="TableGrid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시장 규모</w:t>
            </w:r>
          </w:p>
        </w:tc>
      </w:tr>
    </w:tbl>
    <w:p>
      <w:pPr>
        <w:rPr/>
      </w:pPr>
    </w:p>
    <w:p>
      <w:pPr>
        <w:pStyle w:val="ListParagraph"/>
        <w:numPr>
          <w:ilvl w:val="0"/>
          <w:numId w:val="15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TAM (Total Addressable Market)</w:t>
      </w:r>
      <w:r>
        <w:rPr>
          <w:rFonts w:ascii="함초롬바탕" w:eastAsia="함초롬바탕" w:hAnsi="함초롬바탕" w:cs="함초롬바탕" w:hint="default"/>
          <w:sz w:val="28"/>
          <w:szCs w:val="28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글로벌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재생에너지 산업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전체 시장 규모는 2024년 약 1,250조 원으로 추산된다.</w:t>
      </w:r>
      <w:r>
        <w:rPr>
          <w:rFonts w:ascii="함초롬바탕" w:eastAsia="함초롬바탕" w:hAnsi="함초롬바탕" w:cs="함초롬바탕" w:hint="default"/>
          <w:sz w:val="28"/>
          <w:szCs w:val="28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향후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10년간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연평균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9.5% 성장(CAGR)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이 전망된다.</w:t>
      </w:r>
    </w:p>
    <w:p>
      <w:pPr>
        <w:pStyle w:val="ListParagraph"/>
        <w:numPr>
          <w:ilvl w:val="0"/>
          <w:numId w:val="15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SAM (Serviceable Available Market)</w:t>
      </w:r>
      <w:r>
        <w:rPr>
          <w:rFonts w:ascii="함초롬바탕" w:eastAsia="함초롬바탕" w:hAnsi="함초롬바탕" w:cs="함초롬바탕" w:hint="default"/>
          <w:sz w:val="28"/>
          <w:szCs w:val="28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그린퓨처가 실제로 서비스 및 제품을 제공할 수 있는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국내 재생에너지 발전·ESS 통합 관리 시장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규모는 약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45,000억 원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으로 추산된다.</w:t>
      </w:r>
      <w:r>
        <w:rPr>
          <w:rFonts w:ascii="함초롬바탕" w:eastAsia="함초롬바탕" w:hAnsi="함초롬바탕" w:cs="함초롬바탕" w:hint="default"/>
          <w:sz w:val="28"/>
          <w:szCs w:val="28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이는 주로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전력회사, 대기업 제조사, 대형 산업단지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고객군을 포함한다.</w:t>
      </w:r>
    </w:p>
    <w:p>
      <w:pPr>
        <w:pStyle w:val="ListParagraph"/>
        <w:numPr>
          <w:ilvl w:val="0"/>
          <w:numId w:val="15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SOM (Serviceable Obtainable Market)</w:t>
      </w:r>
      <w:r>
        <w:rPr>
          <w:rFonts w:ascii="함초롬바탕" w:eastAsia="함초롬바탕" w:hAnsi="함초롬바탕" w:cs="함초롬바탕" w:hint="default"/>
          <w:sz w:val="28"/>
          <w:szCs w:val="28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그린퓨처가 단기적으로 점유할 수 있는 시장 규모는 약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8,500억 원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으로 평가된다.</w:t>
      </w:r>
    </w:p>
    <w:p>
      <w:pPr>
        <w:pStyle w:val="ListParagraph"/>
        <w:numPr>
          <w:ilvl w:val="0"/>
          <w:numId w:val="15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내부 시장 분석</w:t>
      </w:r>
      <w:r>
        <w:rPr>
          <w:rFonts w:ascii="함초롬바탕" w:eastAsia="함초롬바탕" w:hAnsi="함초롬바탕" w:cs="함초롬바탕" w:hint="default"/>
          <w:sz w:val="28"/>
          <w:szCs w:val="28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내부 분석에 따르면 향후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3년 내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그린퓨처의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GreenMax ESS 플랫폼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이 국내 전력망에 본격 적용될 경우, 실제 점유 가능 시장은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1조 2,000억 원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까지 확대될 전망이다.</w:t>
      </w:r>
      <w:r>
        <w:rPr>
          <w:rFonts w:ascii="함초롬바탕" w:eastAsia="함초롬바탕" w:hAnsi="함초롬바탕" w:cs="함초롬바탕" w:hint="default"/>
          <w:sz w:val="28"/>
          <w:szCs w:val="28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특히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동남아 지역(베트남, 인도네시아)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에서의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재생에너지 PPA 기반 신규 비즈니스 모델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도입을 통해 시장 점유율을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+2.5%p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추가 확보할 수 있을 것으로 기대된다.</w:t>
      </w:r>
    </w:p>
    <w:p>
      <w:pPr>
        <w:rPr>
          <w:lang w:eastAsia="ko-KR"/>
          <w:rFonts w:hint="eastAsia"/>
          <w:rtl w:val="off"/>
        </w:rPr>
      </w:pPr>
    </w:p>
    <w:tbl>
      <w:tblPr>
        <w:tblStyle w:val="TableGrid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산업 성장성 분석</w:t>
            </w:r>
          </w:p>
        </w:tc>
      </w:tr>
    </w:tbl>
    <w:p>
      <w:pPr>
        <w:rPr/>
      </w:pPr>
    </w:p>
    <w:p>
      <w:pPr>
        <w:pStyle w:val="ListParagraph"/>
        <w:numPr>
          <w:ilvl w:val="0"/>
          <w:numId w:val="16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기술 혁신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: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고밀도 ESS, AI 기반 수요예측, 차세대 수소 플랜트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등의 상용화가 재생에너지 산업의 적용 범위를 확대하고 있다.</w:t>
      </w:r>
    </w:p>
    <w:p>
      <w:pPr>
        <w:pStyle w:val="ListParagraph"/>
        <w:numPr>
          <w:ilvl w:val="0"/>
          <w:numId w:val="16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정책적 지원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: 정부의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K-그린뉴딜 정책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및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탄소중립 2050 로드맵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은 대규모 R&amp;D 투자와 세제 혜택을 촉진하여 산업 활성화에 기여한다.</w:t>
      </w:r>
    </w:p>
    <w:p>
      <w:pPr>
        <w:pStyle w:val="ListParagraph"/>
        <w:numPr>
          <w:ilvl w:val="0"/>
          <w:numId w:val="16"/>
        </w:numPr>
        <w:rPr>
          <w:lang w:eastAsia="ko-KR"/>
          <w:rFonts w:hint="eastAsia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수요 변화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: ESG 경영 확산, 글로벌 기업들의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RE100(재생에너지 100% 전환)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참여 증가로 최종 소비자 및 기업들의 수요가 폭발적으로 증가하고 있다.</w:t>
      </w:r>
    </w:p>
    <w:p>
      <w:pPr>
        <w:ind w:leftChars="0" w:left="400"/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tbl>
      <w:tblPr>
        <w:tblStyle w:val="TableGrid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3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경쟁 환경 분석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그린퓨처는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독자적인 ESS 통합 플랫폼 기술과 장기 PPA 계약 포트폴리오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를 기반으로 시장 내 독보적인 위치를 확보하고 있다.</w:t>
      </w:r>
    </w:p>
    <w:p>
      <w:pPr>
        <w:pStyle w:val="ListParagraph"/>
        <w:numPr>
          <w:ilvl w:val="0"/>
          <w:numId w:val="17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주요 경쟁사 분석</w:t>
      </w:r>
    </w:p>
    <w:p>
      <w:pPr>
        <w:pStyle w:val="ListParagraph"/>
        <w:numPr>
          <w:ilvl w:val="1"/>
          <w:numId w:val="17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그린플럭스에너지: 풍력 발전소 운영 역량과 안정적인 발전단지 운영 경험을 바탕으로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전력 생산 부문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에서 강세를 보임. 하지만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ESS 기술 부족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으로 수익성 개선에 한계 → 최근 점유율 일부 하락.</w:t>
      </w:r>
    </w:p>
    <w:p>
      <w:pPr>
        <w:pStyle w:val="ListParagraph"/>
        <w:numPr>
          <w:ilvl w:val="1"/>
          <w:numId w:val="17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네오젠파워: 태양광 모듈 기술력을 강점으로 내세우며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태양광 발전 시장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에서 확고한 입지를 구축. 그러나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해외 진출 경험 부족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과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정책 의존도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가 성장의 걸림돌로 작용.</w:t>
      </w:r>
    </w:p>
    <w:p>
      <w:pPr>
        <w:pStyle w:val="ListParagraph"/>
        <w:numPr>
          <w:ilvl w:val="0"/>
          <w:numId w:val="17"/>
        </w:numPr>
        <w:rPr>
          <w:b w:val="0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경쟁사 지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표 비교</w:t>
      </w:r>
    </w:p>
    <w:tbl>
      <w:tblPr>
        <w:tblStyle w:val="a0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892"/>
        <w:gridCol w:w="1660"/>
        <w:gridCol w:w="2223"/>
        <w:gridCol w:w="1942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구분</w:t>
            </w:r>
          </w:p>
        </w:tc>
        <w:tc>
          <w:tcPr>
            <w:tcW w:w="1660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그린퓨처</w:t>
            </w:r>
          </w:p>
        </w:tc>
        <w:tc>
          <w:tcPr>
            <w:tcW w:w="2223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그린플럭스에너지</w:t>
            </w:r>
          </w:p>
        </w:tc>
        <w:tc>
          <w:tcPr>
            <w:tcW w:w="1942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네오젠파워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시장 점유율(%)</w:t>
            </w:r>
          </w:p>
        </w:tc>
        <w:tc>
          <w:tcPr>
            <w:tcW w:w="166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9.8%</w:t>
            </w:r>
          </w:p>
        </w:tc>
        <w:tc>
          <w:tcPr>
            <w:tcW w:w="222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12.5%</w:t>
            </w:r>
          </w:p>
        </w:tc>
        <w:tc>
          <w:tcPr>
            <w:tcW w:w="1942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8.3%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영업이익률(%)</w:t>
            </w:r>
          </w:p>
        </w:tc>
        <w:tc>
          <w:tcPr>
            <w:tcW w:w="1660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11.8%</w:t>
            </w:r>
          </w:p>
        </w:tc>
        <w:tc>
          <w:tcPr>
            <w:tcW w:w="2223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9.2%</w:t>
            </w:r>
          </w:p>
        </w:tc>
        <w:tc>
          <w:tcPr>
            <w:tcW w:w="1942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10.5%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직원 1인당 생산성(억)</w:t>
            </w:r>
          </w:p>
        </w:tc>
        <w:tc>
          <w:tcPr>
            <w:tcW w:w="166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7.2</w:t>
            </w:r>
          </w:p>
        </w:tc>
        <w:tc>
          <w:tcPr>
            <w:tcW w:w="222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6.1</w:t>
            </w:r>
          </w:p>
        </w:tc>
        <w:tc>
          <w:tcPr>
            <w:tcW w:w="1942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6.5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시장 규모(억 원)</w:t>
            </w:r>
          </w:p>
        </w:tc>
        <w:tc>
          <w:tcPr>
            <w:tcW w:w="1660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45,000</w:t>
            </w:r>
          </w:p>
        </w:tc>
        <w:tc>
          <w:tcPr>
            <w:tcW w:w="2223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52,000</w:t>
            </w:r>
          </w:p>
        </w:tc>
        <w:tc>
          <w:tcPr>
            <w:tcW w:w="1942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39,000</w:t>
            </w:r>
          </w:p>
        </w:tc>
      </w:tr>
    </w:tbl>
    <w:p>
      <w:pPr>
        <w:pStyle w:val="ListParagraph"/>
        <w:numPr>
          <w:ilvl w:val="0"/>
          <w:numId w:val="18"/>
        </w:numPr>
        <w:rPr>
          <w:b w:val="0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내부 경쟁 전략</w:t>
      </w:r>
      <w:r>
        <w:rPr>
          <w:rFonts w:ascii="함초롬바탕" w:eastAsia="함초롬바탕" w:hAnsi="함초롬바탕" w:cs="함초롬바탕" w:hint="default"/>
          <w:sz w:val="28"/>
          <w:szCs w:val="28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내부 분석에 따르면 그린플럭스에너지의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ESS 기술 취약성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은 향후 6개월 내 시장 점유율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-1.5%p 하락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을 야기할 전망이다.</w:t>
      </w:r>
      <w:r>
        <w:rPr>
          <w:rFonts w:ascii="함초롬바탕" w:eastAsia="함초롬바탕" w:hAnsi="함초롬바탕" w:cs="함초롬바탕" w:hint="default"/>
          <w:sz w:val="28"/>
          <w:szCs w:val="28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그린퓨처는 차세대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GreenMax ESS 2.0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출시를 통해 네오젠파워의 주요 대기업 고객군을 공략,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+2.0%p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의 시장 점유율 추가 확보를 목표로 하고 있다.</w:t>
      </w:r>
    </w:p>
    <w:p>
      <w:pPr>
        <w:rPr>
          <w:lang w:eastAsia="ko-KR"/>
          <w:rFonts w:ascii="함초롬바탕" w:eastAsia="함초롬바탕" w:hAnsi="함초롬바탕" w:cs="함초롬바탕"/>
          <w:sz w:val="28"/>
          <w:szCs w:val="28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/>
          <w:sz w:val="28"/>
          <w:szCs w:val="28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/>
          <w:sz w:val="28"/>
          <w:szCs w:val="28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/>
          <w:sz w:val="28"/>
          <w:szCs w:val="28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/>
          <w:sz w:val="28"/>
          <w:szCs w:val="28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/>
          <w:sz w:val="28"/>
          <w:szCs w:val="28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tbl>
      <w:tblPr>
        <w:tblStyle w:val="TableGrid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Ⅲ</w:t>
            </w: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  <w:shd w:val="clear" w:color="000000" w:fill="auto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 xml:space="preserve"> 리스크 및 기회 요인</w:t>
            </w:r>
          </w:p>
        </w:tc>
      </w:tr>
    </w:tbl>
    <w:p>
      <w:pPr>
        <w:rPr>
          <w:rFonts w:ascii="함초롬바탕" w:eastAsia="함초롬바탕" w:hAnsi="함초롬바탕" w:cs="함초롬바탕" w:hint="default"/>
        </w:rPr>
      </w:pPr>
    </w:p>
    <w:tbl>
      <w:tblPr>
        <w:tblStyle w:val="TableGrid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주요 리스크 요인</w:t>
            </w:r>
          </w:p>
        </w:tc>
      </w:tr>
    </w:tbl>
    <w:p>
      <w:pPr>
        <w:pStyle w:val="ListParagraph"/>
        <w:numPr>
          <w:ilvl w:val="0"/>
          <w:numId w:val="19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rtl w:val="off"/>
        </w:rPr>
        <w:t>경쟁 심화 및 시장 포화</w:t>
      </w:r>
    </w:p>
    <w:p>
      <w:pPr>
        <w:pStyle w:val="ListParagraph"/>
        <w:numPr>
          <w:ilvl w:val="1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리스크 내용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: 재생에너지 시장의 급격한 성장은 신규 경쟁사의 대거 진입을 촉발할 수 있다. 특히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글로벌 대기업(예: 테슬라 에너지, 구글 에너지 부문)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의 시장 진출 시, 그린퓨처의 기존 점유율에 직접적인 위협이 될 수 있다.</w:t>
      </w:r>
    </w:p>
    <w:p>
      <w:pPr>
        <w:pStyle w:val="ListParagraph"/>
        <w:numPr>
          <w:ilvl w:val="1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영향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: 시장 점유율 하락 및 영업이익률 축소로 이어져 수익성 악화가 예상된다.</w:t>
      </w:r>
    </w:p>
    <w:p>
      <w:pPr>
        <w:pStyle w:val="ListParagraph"/>
        <w:numPr>
          <w:ilvl w:val="1"/>
          <w:numId w:val="19"/>
        </w:num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대응 전략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: 독점 기술인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GreenMax ESS 플랫폼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의 특허 포트폴리오를 강화하고, 주요 고객사와의 장기 PPA 계약 확대를 통해 안정적인 매출 기반을 유지한다.</w:t>
      </w:r>
    </w:p>
    <w:p>
      <w:pPr>
        <w:pStyle w:val="ListParagraph"/>
        <w:numPr>
          <w:ilvl w:val="0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기술 변화 및 규제 리스크</w:t>
      </w:r>
    </w:p>
    <w:p>
      <w:pPr>
        <w:pStyle w:val="ListParagraph"/>
        <w:numPr>
          <w:ilvl w:val="1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리스크 내용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: 그린퓨처의 핵심 기술인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ESS 통합 관리 기술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보다 혁신적인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차세대 배터리·AI 전력관리 솔루션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이 등장할 경우 기술적 우위가 약화될 수 있다. 또한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RE100·탄소배출권 규제 강화, 개인정보 보호법 개정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등은 솔루션 개발 및 운영에 제약을 줄 수 있다.</w:t>
      </w:r>
    </w:p>
    <w:p>
      <w:pPr>
        <w:pStyle w:val="ListParagraph"/>
        <w:numPr>
          <w:ilvl w:val="1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영향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: 기술 경쟁력 상실로 인한 매출 감소와, 규제 준수 비용의 증가 우려.</w:t>
      </w:r>
    </w:p>
    <w:p>
      <w:pPr>
        <w:pStyle w:val="ListParagraph"/>
        <w:numPr>
          <w:ilvl w:val="1"/>
          <w:numId w:val="19"/>
        </w:num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대응 전략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: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R&amp;D 투자 비중을 연매출의 12% 이상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으로 유지해 기술 초격차를 확보하고, 법률·정책 전문가와 협력하여 규제 변화에 선제적으로 대응한다.</w:t>
      </w:r>
    </w:p>
    <w:p>
      <w:pPr>
        <w:pStyle w:val="ListParagraph"/>
        <w:numPr>
          <w:ilvl w:val="0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주요 고객사 의존도</w:t>
      </w:r>
    </w:p>
    <w:p>
      <w:pPr>
        <w:pStyle w:val="ListParagraph"/>
        <w:numPr>
          <w:ilvl w:val="1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리스크 내용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: 현재 매출의 약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62%가 상위 5개 고객사(한전, 현대제철, LG에너지솔루션 등)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에 집중되어 있다. 특정 고객사의 계약 변경 또는 해지 시 매출에 심각한 타격 가능성이 있다.</w:t>
      </w:r>
    </w:p>
    <w:p>
      <w:pPr>
        <w:pStyle w:val="ListParagraph"/>
        <w:numPr>
          <w:ilvl w:val="1"/>
          <w:numId w:val="19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영향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: 안정적인 수익 구조에 대한 불확실성 증가 및 현금 흐름 악화.</w:t>
      </w:r>
    </w:p>
    <w:p>
      <w:pPr>
        <w:pStyle w:val="ListParagraph"/>
        <w:numPr>
          <w:ilvl w:val="1"/>
          <w:numId w:val="19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대응 전략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: 신규 고객 확보를 위한 글로벌 마케팅을 강화하고,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동남아 신흥시장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진출을 통해 고객 다변화를 추진한다.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tbl>
      <w:tblPr>
        <w:tblStyle w:val="TableGrid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성장 기회 및 미래 전략</w:t>
            </w:r>
          </w:p>
        </w:tc>
      </w:tr>
    </w:tbl>
    <w:p>
      <w:pPr>
        <w:pStyle w:val="ListParagraph"/>
        <w:numPr>
          <w:ilvl w:val="0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신규 시장 진출 </w:t>
      </w:r>
    </w:p>
    <w:p>
      <w:pPr>
        <w:pStyle w:val="ListParagraph"/>
        <w:numPr>
          <w:ilvl w:val="1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전략 내용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: 국내 시장에서의 성과를 기반으로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동남아시아(베트남, 인도네시아) 시장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에 진출할 계획이다. 현지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에너지 인프라 기업 V-Energy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와 독점 파트너십을 통해 재생에너지 발전·ESS 통합 프로젝트를 전개한다.</w:t>
      </w:r>
    </w:p>
    <w:p>
      <w:pPr>
        <w:pStyle w:val="ListParagraph"/>
        <w:numPr>
          <w:ilvl w:val="1"/>
          <w:numId w:val="20"/>
        </w:num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예상 효과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: 향후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3년간 동남아시아 시장에서 연평균 15% 매출 성장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을 달성하고, 전체 매출의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20% 이상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을 해외에서 창출할 것으로 기대된다.</w:t>
      </w:r>
    </w:p>
    <w:p>
      <w:pPr>
        <w:pStyle w:val="ListParagraph"/>
        <w:numPr>
          <w:ilvl w:val="0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제품 포트폴리오 확장</w:t>
      </w:r>
    </w:p>
    <w:p>
      <w:pPr>
        <w:pStyle w:val="ListParagraph"/>
        <w:numPr>
          <w:ilvl w:val="1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전략 내용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: 기존 솔루션인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GreenMax ESS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를 보완하는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GreenHydro 수소저장 시스템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을 개발 중이다. 해당 제품은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고효율 전력 변환 기능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을 탑재하며,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개발비 1,200억 원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을 투입하여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2026년 상반기 출시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예정이다.</w:t>
      </w:r>
    </w:p>
    <w:p>
      <w:pPr>
        <w:pStyle w:val="ListParagraph"/>
        <w:numPr>
          <w:ilvl w:val="1"/>
          <w:numId w:val="20"/>
        </w:num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예상 효과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: 신규 제품 출시를 통해 그린퓨처의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시장 지배력을 강화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하고,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영업이익률 +2.0%p 개선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을 확보할 수 있다.</w:t>
      </w:r>
    </w:p>
    <w:p>
      <w:pPr>
        <w:pStyle w:val="ListParagraph"/>
        <w:numPr>
          <w:ilvl w:val="0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 전략적 제휴</w:t>
      </w:r>
    </w:p>
    <w:p>
      <w:pPr>
        <w:pStyle w:val="ListParagraph"/>
        <w:numPr>
          <w:ilvl w:val="1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전략 내용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: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글로벌 전력 장비 기업 Siemens Energy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와 전략적 제휴를 추진 중이다. 양사의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ESS 기술력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과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글로벌 영업 네트워크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를 결합하여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하이브리드 에너지 관리 모델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을 공동 개발할 계획이다.</w:t>
      </w:r>
    </w:p>
    <w:p>
      <w:pPr>
        <w:pStyle w:val="ListParagraph"/>
        <w:numPr>
          <w:ilvl w:val="1"/>
          <w:numId w:val="20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예상 효과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: 제휴를 통해 글로벌 시장 내 경쟁 우위를 확보하고, 향후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5년간 8,000억 원 이상의 추가 매출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을 창출할 것으로 전망된다.</w:t>
      </w:r>
    </w:p>
    <w:tbl>
      <w:tblPr>
        <w:tblStyle w:val="TableGrid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Ⅳ</w:t>
            </w:r>
            <w:r>
              <w:rPr>
                <w:rFonts w:ascii="HY견명조"/>
                <w:b/>
                <w:color w:val="FFFFFF"/>
                <w:sz w:val="42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>벨류에이션 및 결론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</w:p>
    <w:tbl>
      <w:tblPr>
        <w:tblStyle w:val="TableGrid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가치 평가 모델</w:t>
            </w:r>
          </w:p>
        </w:tc>
      </w:tr>
    </w:tbl>
    <w:p>
      <w:pPr>
        <w:rPr>
          <w:lang/>
          <w:rFonts w:ascii="함초롬바탕" w:eastAsia="함초롬바탕" w:hAnsi="함초롬바탕" w:cs="함초롬바탕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DCF(현금흐름할인법) 기반 가치 평가</w:t>
      </w:r>
    </w:p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DCF 모델 핵심 가정</w:t>
      </w:r>
    </w:p>
    <w:p>
      <w:pPr>
        <w:pStyle w:val="ListParagraph"/>
        <w:numPr>
          <w:ilvl w:val="0"/>
          <w:numId w:val="21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매출액 성장률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: 향후 5년간 12% → 8%까지의 성장률 둔화를 가정. 이후 장기적으로는 산업 평균(5%)에 수렴.</w:t>
      </w:r>
    </w:p>
    <w:p>
      <w:pPr>
        <w:pStyle w:val="ListParagraph"/>
        <w:numPr>
          <w:ilvl w:val="0"/>
          <w:numId w:val="21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영업이익률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: 2024년 기준 **11.8% → 13.5%**까지 점진적 개선 가정.</w:t>
      </w:r>
    </w:p>
    <w:p>
      <w:pPr>
        <w:pStyle w:val="ListParagraph"/>
        <w:numPr>
          <w:ilvl w:val="0"/>
          <w:numId w:val="21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자본적 지출(CAPEX)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: 향후 5년간 매출액 대비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7%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수준 유지.</w:t>
      </w:r>
    </w:p>
    <w:p>
      <w:pPr>
        <w:pStyle w:val="ListParagraph"/>
        <w:numPr>
          <w:ilvl w:val="0"/>
          <w:numId w:val="21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할인율(WACC)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: 자본비용 9%, 부채비용 4%를 고려하여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7.5%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적용.</w:t>
      </w:r>
    </w:p>
    <w:p>
      <w:pPr>
        <w:pStyle w:val="ListParagraph"/>
        <w:numPr>
          <w:ilvl w:val="0"/>
          <w:numId w:val="21"/>
        </w:numPr>
        <w:rPr>
          <w:b w:val="0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영구성장률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: 장기 시장 성장률을 반영하여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2.5%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적용.</w:t>
      </w:r>
    </w:p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내부 현금흐름 추정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rtl w:val="off"/>
        </w:rPr>
        <w:t>(단위: 억 원)</w:t>
      </w:r>
    </w:p>
    <w:tbl>
      <w:tblPr>
        <w:tblStyle w:val="a0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371"/>
        <w:gridCol w:w="1269"/>
        <w:gridCol w:w="1269"/>
        <w:gridCol w:w="1269"/>
        <w:gridCol w:w="1269"/>
        <w:gridCol w:w="126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구분</w:t>
            </w:r>
          </w:p>
        </w:tc>
        <w:tc>
          <w:tcPr>
            <w:tcW w:w="1269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2025년</w:t>
            </w:r>
          </w:p>
        </w:tc>
        <w:tc>
          <w:tcPr>
            <w:tcW w:w="1269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2026년</w:t>
            </w:r>
          </w:p>
        </w:tc>
        <w:tc>
          <w:tcPr>
            <w:tcW w:w="1269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2027년</w:t>
            </w:r>
          </w:p>
        </w:tc>
        <w:tc>
          <w:tcPr>
            <w:tcW w:w="1269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2028년</w:t>
            </w:r>
          </w:p>
        </w:tc>
        <w:tc>
          <w:tcPr>
            <w:tcW w:w="1269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2029년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매출액</w:t>
            </w:r>
          </w:p>
        </w:tc>
        <w:tc>
          <w:tcPr>
            <w:tcW w:w="1269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30,800</w:t>
            </w:r>
          </w:p>
        </w:tc>
        <w:tc>
          <w:tcPr>
            <w:tcW w:w="1269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34,500</w:t>
            </w:r>
          </w:p>
        </w:tc>
        <w:tc>
          <w:tcPr>
            <w:tcW w:w="1269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37,200</w:t>
            </w:r>
          </w:p>
        </w:tc>
        <w:tc>
          <w:tcPr>
            <w:tcW w:w="1269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40,200</w:t>
            </w:r>
          </w:p>
        </w:tc>
        <w:tc>
          <w:tcPr>
            <w:tcW w:w="1269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43,500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영업이익</w:t>
            </w:r>
          </w:p>
        </w:tc>
        <w:tc>
          <w:tcPr>
            <w:tcW w:w="1269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3,600</w:t>
            </w:r>
          </w:p>
        </w:tc>
        <w:tc>
          <w:tcPr>
            <w:tcW w:w="1269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4,200</w:t>
            </w:r>
          </w:p>
        </w:tc>
        <w:tc>
          <w:tcPr>
            <w:tcW w:w="1269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4,650</w:t>
            </w:r>
          </w:p>
        </w:tc>
        <w:tc>
          <w:tcPr>
            <w:tcW w:w="1269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5,200</w:t>
            </w:r>
          </w:p>
        </w:tc>
        <w:tc>
          <w:tcPr>
            <w:tcW w:w="1269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5,880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영업이익률 (%)</w:t>
            </w:r>
          </w:p>
        </w:tc>
        <w:tc>
          <w:tcPr>
            <w:tcW w:w="1269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11.7%</w:t>
            </w:r>
          </w:p>
        </w:tc>
        <w:tc>
          <w:tcPr>
            <w:tcW w:w="1269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12.2%</w:t>
            </w:r>
          </w:p>
        </w:tc>
        <w:tc>
          <w:tcPr>
            <w:tcW w:w="1269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12.5%</w:t>
            </w:r>
          </w:p>
        </w:tc>
        <w:tc>
          <w:tcPr>
            <w:tcW w:w="1269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12.9%</w:t>
            </w:r>
          </w:p>
        </w:tc>
        <w:tc>
          <w:tcPr>
            <w:tcW w:w="1269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13.5%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영업활동 현금흐름</w:t>
            </w:r>
          </w:p>
        </w:tc>
        <w:tc>
          <w:tcPr>
            <w:tcW w:w="1269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3,200</w:t>
            </w:r>
          </w:p>
        </w:tc>
        <w:tc>
          <w:tcPr>
            <w:tcW w:w="1269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3,800</w:t>
            </w:r>
          </w:p>
        </w:tc>
        <w:tc>
          <w:tcPr>
            <w:tcW w:w="1269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4,250</w:t>
            </w:r>
          </w:p>
        </w:tc>
        <w:tc>
          <w:tcPr>
            <w:tcW w:w="1269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4,800</w:t>
            </w:r>
          </w:p>
        </w:tc>
        <w:tc>
          <w:tcPr>
            <w:tcW w:w="1269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5,400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투자활동 현금흐름</w:t>
            </w:r>
          </w:p>
        </w:tc>
        <w:tc>
          <w:tcPr>
            <w:tcW w:w="1269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-2,100</w:t>
            </w:r>
          </w:p>
        </w:tc>
        <w:tc>
          <w:tcPr>
            <w:tcW w:w="1269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-2,400</w:t>
            </w:r>
          </w:p>
        </w:tc>
        <w:tc>
          <w:tcPr>
            <w:tcW w:w="1269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-2,600</w:t>
            </w:r>
          </w:p>
        </w:tc>
        <w:tc>
          <w:tcPr>
            <w:tcW w:w="1269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-2,900</w:t>
            </w:r>
          </w:p>
        </w:tc>
        <w:tc>
          <w:tcPr>
            <w:tcW w:w="1269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-3,100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</w:p>
    <w:tbl>
      <w:tblPr>
        <w:tblStyle w:val="TableGrid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 목표 주가 및 투자 의견</w:t>
            </w:r>
          </w:p>
        </w:tc>
      </w:tr>
    </w:tbl>
    <w:p>
      <w:pPr>
        <w:pStyle w:val="ListParagraph"/>
        <w:numPr>
          <w:ilvl w:val="0"/>
          <w:numId w:val="22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가치 평가 결과</w:t>
      </w:r>
    </w:p>
    <w:p>
      <w:pPr>
        <w:pStyle w:val="ListParagraph"/>
        <w:numPr>
          <w:ilvl w:val="1"/>
          <w:numId w:val="22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산출된 그린퓨처의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내재가치: 6조 2,000억 원</w:t>
      </w:r>
    </w:p>
    <w:p>
      <w:pPr>
        <w:pStyle w:val="ListParagraph"/>
        <w:numPr>
          <w:ilvl w:val="1"/>
          <w:numId w:val="22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발행 주식수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2억 주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기준 목표 주가: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31,000원</w:t>
      </w:r>
    </w:p>
    <w:p>
      <w:pPr>
        <w:pStyle w:val="ListParagraph"/>
        <w:numPr>
          <w:ilvl w:val="1"/>
          <w:numId w:val="22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현재 주가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22,500원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대비 약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+38% 상승 여력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존재</w:t>
      </w:r>
    </w:p>
    <w:p>
      <w:pPr>
        <w:pStyle w:val="ListParagraph"/>
        <w:numPr>
          <w:ilvl w:val="0"/>
          <w:numId w:val="22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경쟁사 밸류에이션 비교</w:t>
      </w:r>
    </w:p>
    <w:tbl>
      <w:tblPr>
        <w:tblStyle w:val="a0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592"/>
        <w:gridCol w:w="1817"/>
        <w:gridCol w:w="2267"/>
        <w:gridCol w:w="2042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구분</w:t>
            </w:r>
          </w:p>
        </w:tc>
        <w:tc>
          <w:tcPr>
            <w:tcW w:w="1817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그린퓨처</w:t>
            </w:r>
          </w:p>
        </w:tc>
        <w:tc>
          <w:tcPr>
            <w:tcW w:w="2267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그린플럭스에너지</w:t>
            </w:r>
          </w:p>
        </w:tc>
        <w:tc>
          <w:tcPr>
            <w:tcW w:w="2042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네오젠파워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주가수익비율 (PER)</w:t>
            </w:r>
          </w:p>
        </w:tc>
        <w:tc>
          <w:tcPr>
            <w:tcW w:w="1817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14.5배</w:t>
            </w:r>
          </w:p>
        </w:tc>
        <w:tc>
          <w:tcPr>
            <w:tcW w:w="2267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17.2배</w:t>
            </w:r>
          </w:p>
        </w:tc>
        <w:tc>
          <w:tcPr>
            <w:tcW w:w="2042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15.8배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주가매출비율 (PSR)</w:t>
            </w:r>
          </w:p>
        </w:tc>
        <w:tc>
          <w:tcPr>
            <w:tcW w:w="1817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2.1배</w:t>
            </w:r>
          </w:p>
        </w:tc>
        <w:tc>
          <w:tcPr>
            <w:tcW w:w="2267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2.8배</w:t>
            </w:r>
          </w:p>
        </w:tc>
        <w:tc>
          <w:tcPr>
            <w:tcW w:w="2042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2.5배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기업가치/EBITDA (EV/EBITDA)</w:t>
            </w:r>
          </w:p>
        </w:tc>
        <w:tc>
          <w:tcPr>
            <w:tcW w:w="1817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8.4배</w:t>
            </w:r>
          </w:p>
        </w:tc>
        <w:tc>
          <w:tcPr>
            <w:tcW w:w="2267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10.2배</w:t>
            </w:r>
          </w:p>
        </w:tc>
        <w:tc>
          <w:tcPr>
            <w:tcW w:w="2042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9.5배</w:t>
            </w:r>
          </w:p>
        </w:tc>
      </w:tr>
    </w:tbl>
    <w:p>
      <w:pPr>
        <w:pStyle w:val="ListParagraph"/>
        <w:numPr>
          <w:ilvl w:val="0"/>
          <w:numId w:val="23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투자의견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: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매수(BUY)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제시</w:t>
      </w:r>
    </w:p>
    <w:p>
      <w:pPr>
        <w:pStyle w:val="ListParagraph"/>
        <w:numPr>
          <w:ilvl w:val="1"/>
          <w:numId w:val="23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성장 모멘텀 확보: 신규 해외시장 진출 및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GreenHydro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개발을 통해 새로운 성장 동력 확보. 내부적으로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영업이익률 +2%p 개선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예상.</w:t>
      </w:r>
    </w:p>
    <w:p>
      <w:pPr>
        <w:pStyle w:val="ListParagraph"/>
        <w:numPr>
          <w:ilvl w:val="1"/>
          <w:numId w:val="23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기술적 해자 구축: 독점 기술인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GreenMax ESS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는 단기간 내 모방 불가능한 기술적 해자로 기능.</w:t>
      </w:r>
    </w:p>
    <w:p>
      <w:pPr>
        <w:pStyle w:val="ListParagraph"/>
        <w:numPr>
          <w:ilvl w:val="1"/>
          <w:numId w:val="23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안정적인 재무 구조: 꾸준한 매출·영업이익 성장으로 외부 환경 변동에도 견조한 재무 체력 유지.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tbl>
      <w:tblPr>
        <w:tblStyle w:val="TableGrid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3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 투자 시나리오 분석</w:t>
            </w:r>
          </w:p>
        </w:tc>
      </w:tr>
    </w:tbl>
    <w:p>
      <w:pPr>
        <w:pStyle w:val="ListParagraph"/>
        <w:numPr>
          <w:ilvl w:val="0"/>
          <w:numId w:val="24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Base Case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: 그린퓨처가 현재 전략을 계획대로 수행, 안정적 환경 지속 시</w:t>
      </w:r>
    </w:p>
    <w:p>
      <w:pPr>
        <w:pStyle w:val="ListParagraph"/>
        <w:numPr>
          <w:ilvl w:val="0"/>
          <w:numId w:val="24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Bull Case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: GreenHydro가 예상보다 빠르게 시장 안착, Siemens Energy와 전략 제휴 성공 시</w:t>
      </w:r>
    </w:p>
    <w:p>
      <w:pPr>
        <w:pStyle w:val="ListParagraph"/>
        <w:numPr>
          <w:ilvl w:val="0"/>
          <w:numId w:val="24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Bear Case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: 신규 경쟁사 진입 가속화, 상위 고객사와 계약 불발 시</w:t>
      </w:r>
    </w:p>
    <w:tbl>
      <w:tblPr>
        <w:tblStyle w:val="a0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648"/>
        <w:gridCol w:w="2023"/>
        <w:gridCol w:w="2023"/>
        <w:gridCol w:w="202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구분</w:t>
            </w:r>
          </w:p>
        </w:tc>
        <w:tc>
          <w:tcPr>
            <w:tcW w:w="2023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Base Case</w:t>
            </w:r>
          </w:p>
        </w:tc>
        <w:tc>
          <w:tcPr>
            <w:tcW w:w="2023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Bull Case</w:t>
            </w:r>
          </w:p>
        </w:tc>
        <w:tc>
          <w:tcPr>
            <w:tcW w:w="2023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Bear Case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매출액 성장률</w:t>
            </w:r>
          </w:p>
        </w:tc>
        <w:tc>
          <w:tcPr>
            <w:tcW w:w="202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연평균 9%</w:t>
            </w:r>
          </w:p>
        </w:tc>
        <w:tc>
          <w:tcPr>
            <w:tcW w:w="202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연평균 12%</w:t>
            </w:r>
          </w:p>
        </w:tc>
        <w:tc>
          <w:tcPr>
            <w:tcW w:w="202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연평균 5%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영업이익률</w:t>
            </w:r>
          </w:p>
        </w:tc>
        <w:tc>
          <w:tcPr>
            <w:tcW w:w="2023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13%</w:t>
            </w:r>
          </w:p>
        </w:tc>
        <w:tc>
          <w:tcPr>
            <w:tcW w:w="2023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15%</w:t>
            </w:r>
          </w:p>
        </w:tc>
        <w:tc>
          <w:tcPr>
            <w:tcW w:w="2023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10%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예상 EBITDA (억 원)</w:t>
            </w:r>
          </w:p>
        </w:tc>
        <w:tc>
          <w:tcPr>
            <w:tcW w:w="202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6,000</w:t>
            </w:r>
          </w:p>
        </w:tc>
        <w:tc>
          <w:tcPr>
            <w:tcW w:w="202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7,800</w:t>
            </w:r>
          </w:p>
        </w:tc>
        <w:tc>
          <w:tcPr>
            <w:tcW w:w="202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4,200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예상 순이익 (억 원)</w:t>
            </w:r>
          </w:p>
        </w:tc>
        <w:tc>
          <w:tcPr>
            <w:tcW w:w="2023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3,300</w:t>
            </w:r>
          </w:p>
        </w:tc>
        <w:tc>
          <w:tcPr>
            <w:tcW w:w="2023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4,500</w:t>
            </w:r>
          </w:p>
        </w:tc>
        <w:tc>
          <w:tcPr>
            <w:tcW w:w="2023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2,200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예상 목표 주가</w:t>
            </w:r>
          </w:p>
        </w:tc>
        <w:tc>
          <w:tcPr>
            <w:tcW w:w="202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31,000원</w:t>
            </w:r>
          </w:p>
        </w:tc>
        <w:tc>
          <w:tcPr>
            <w:tcW w:w="202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38,500원</w:t>
            </w:r>
          </w:p>
        </w:tc>
        <w:tc>
          <w:tcPr>
            <w:tcW w:w="202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20,000원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p>
      <w:pPr>
        <w:pStyle w:val="ListParagraph"/>
        <w:numPr>
          <w:ilvl w:val="0"/>
          <w:numId w:val="25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시나리오별 상세 분석</w:t>
      </w:r>
    </w:p>
    <w:p>
      <w:pPr>
        <w:pStyle w:val="ListParagraph"/>
        <w:numPr>
          <w:ilvl w:val="1"/>
          <w:numId w:val="25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Base Case: 현재 주가는 내재가치 대비 저평가 상태. 안정적인 성장 전망.</w:t>
      </w:r>
    </w:p>
    <w:p>
      <w:pPr>
        <w:pStyle w:val="ListParagraph"/>
        <w:numPr>
          <w:ilvl w:val="1"/>
          <w:numId w:val="25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Bull Case: GreenHydro 출시 성공 및 글로벌 시장 점유율 +3% 확보 → 목표 주가 38,500원 상향.</w:t>
      </w:r>
    </w:p>
    <w:p>
      <w:pPr>
        <w:pStyle w:val="ListParagraph"/>
        <w:numPr>
          <w:ilvl w:val="1"/>
          <w:numId w:val="25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Bear Case: 주요 고객사 재계약 불발 시 매출 2,500억 원 감소 → 목표 주가 20,000원 하락 위험.</w:t>
      </w:r>
    </w:p>
    <w:p>
      <w:pPr>
        <w:rPr>
          <w:lang/>
          <w:rFonts w:ascii="함초롬바탕" w:eastAsia="함초롬바탕" w:hAnsi="함초롬바탕" w:cs="함초롬바탕"/>
          <w:sz w:val="28"/>
          <w:szCs w:val="28"/>
          <w:rtl w:val="off"/>
        </w:rPr>
      </w:pPr>
    </w:p>
    <w:tbl>
      <w:tblPr>
        <w:tblStyle w:val="TableGrid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4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 결론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그린퓨처는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재생에너지 시장의 핵심 성장 동력을 보유한 선도 기업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으로,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GreenMax ESS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와 같은 독보적 기술 및 안정적인 고객 기반이 장기적 성장을 담보한다.</w:t>
      </w:r>
      <w:r>
        <w:rPr>
          <w:rFonts w:ascii="함초롬바탕" w:eastAsia="함초롬바탕" w:hAnsi="함초롬바탕" w:cs="함초롬바탕" w:hint="default"/>
          <w:sz w:val="28"/>
          <w:szCs w:val="28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현재 밸류에이션은 기업의 내재가치 대비 저평가되어 있으며, 향후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GreenHydro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등 신규 사업을 통해 기업 가치 재평가 가능성이 크다.</w:t>
      </w:r>
      <w:r>
        <w:rPr>
          <w:rFonts w:ascii="함초롬바탕" w:eastAsia="함초롬바탕" w:hAnsi="함초롬바탕" w:cs="함초롬바탕" w:hint="default"/>
          <w:sz w:val="28"/>
          <w:szCs w:val="28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단기 변동성은 존재하나,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경영진 전문성과 명확한 성장 전략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을 고려할 때 이는 충분히 극복 가능한 수준이다.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/>
          <w:sz w:val="28"/>
          <w:szCs w:val="28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/>
          <w:sz w:val="28"/>
          <w:szCs w:val="28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/>
          <w:sz w:val="28"/>
          <w:szCs w:val="28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/>
          <w:sz w:val="28"/>
          <w:szCs w:val="28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tbl>
      <w:tblPr>
        <w:tblStyle w:val="TableGrid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Ⅴ</w:t>
            </w:r>
            <w:r>
              <w:rPr>
                <w:rFonts w:ascii="HY견명조"/>
                <w:b/>
                <w:color w:val="FFFFFF"/>
                <w:sz w:val="42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>부록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</w:p>
    <w:tbl>
      <w:tblPr>
        <w:tblStyle w:val="TableGrid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 재무제표 요약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아래 재무제표는 그린퓨처 의 최근 3년간의 주요 재무 상태를 요약한 것이다.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  <w:t>손익계산서 (단위: 억 원)</w:t>
      </w:r>
    </w:p>
    <w:tbl>
      <w:tblPr>
        <w:tblStyle w:val="a0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180"/>
        <w:gridCol w:w="2180"/>
        <w:gridCol w:w="2180"/>
        <w:gridCol w:w="218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구분</w:t>
            </w:r>
          </w:p>
        </w:tc>
        <w:tc>
          <w:tcPr/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2022년</w:t>
            </w:r>
          </w:p>
        </w:tc>
        <w:tc>
          <w:tcPr/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2023년</w:t>
            </w:r>
          </w:p>
        </w:tc>
        <w:tc>
          <w:tcPr/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2024년(E)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매출액</w:t>
            </w:r>
          </w:p>
        </w:tc>
        <w:tc>
          <w:tcPr/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23,500</w:t>
            </w:r>
          </w:p>
        </w:tc>
        <w:tc>
          <w:tcPr/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25,000</w:t>
            </w:r>
          </w:p>
        </w:tc>
        <w:tc>
          <w:tcPr/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28,000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영업이익</w:t>
            </w:r>
          </w:p>
        </w:tc>
        <w:tc>
          <w:tcPr/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2,600</w:t>
            </w:r>
          </w:p>
        </w:tc>
        <w:tc>
          <w:tcPr/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3,000</w:t>
            </w:r>
          </w:p>
        </w:tc>
        <w:tc>
          <w:tcPr/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3,100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당기순이익</w:t>
            </w:r>
          </w:p>
        </w:tc>
        <w:tc>
          <w:tcPr/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1,800</w:t>
            </w:r>
          </w:p>
        </w:tc>
        <w:tc>
          <w:tcPr/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2,050</w:t>
            </w:r>
          </w:p>
        </w:tc>
        <w:tc>
          <w:tcPr/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2,200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  <w:t>재무상태표 (단위: 억 원)</w:t>
      </w:r>
    </w:p>
    <w:tbl>
      <w:tblPr>
        <w:tblStyle w:val="a0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180"/>
        <w:gridCol w:w="2180"/>
        <w:gridCol w:w="2180"/>
        <w:gridCol w:w="218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구분</w:t>
            </w:r>
          </w:p>
        </w:tc>
        <w:tc>
          <w:tcPr/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2022년</w:t>
            </w:r>
          </w:p>
        </w:tc>
        <w:tc>
          <w:tcPr/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2023년</w:t>
            </w:r>
          </w:p>
        </w:tc>
        <w:tc>
          <w:tcPr/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2024년(E)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자산총계</w:t>
            </w:r>
          </w:p>
        </w:tc>
        <w:tc>
          <w:tcPr/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41,200</w:t>
            </w:r>
          </w:p>
        </w:tc>
        <w:tc>
          <w:tcPr/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44,000</w:t>
            </w:r>
          </w:p>
        </w:tc>
        <w:tc>
          <w:tcPr/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47,500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부채총계</w:t>
            </w:r>
          </w:p>
        </w:tc>
        <w:tc>
          <w:tcPr/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26,100</w:t>
            </w:r>
          </w:p>
        </w:tc>
        <w:tc>
          <w:tcPr/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27,500</w:t>
            </w:r>
          </w:p>
        </w:tc>
        <w:tc>
          <w:tcPr/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29,500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자본총계</w:t>
            </w:r>
          </w:p>
        </w:tc>
        <w:tc>
          <w:tcPr/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15,100</w:t>
            </w:r>
          </w:p>
        </w:tc>
        <w:tc>
          <w:tcPr/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16,500</w:t>
            </w:r>
          </w:p>
        </w:tc>
        <w:tc>
          <w:tcPr/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</w:rPr>
              <w:t>18,000</w:t>
            </w:r>
          </w:p>
        </w:tc>
      </w:tr>
    </w:tbl>
    <w:p>
      <w:pPr>
        <w:rPr/>
      </w:pPr>
    </w:p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</w:p>
    <w:tbl>
      <w:tblPr>
        <w:tblStyle w:val="TableGrid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 참고 자료 및 데이터 출처</w:t>
            </w:r>
          </w:p>
        </w:tc>
      </w:tr>
    </w:tbl>
    <w:p>
      <w:pPr>
        <w:rPr/>
      </w:pP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본 보고서 작성에 활용된 주요 자료 및 데이터 출처는 아래와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rtl w:val="off"/>
        </w:rPr>
        <w:t>같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다.</w:t>
      </w:r>
    </w:p>
    <w:p>
      <w:pPr>
        <w:pStyle w:val="ListParagraph"/>
        <w:numPr>
          <w:ilvl w:val="0"/>
          <w:numId w:val="26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그린퓨처 정기보고서 및 공시자료</w:t>
      </w:r>
    </w:p>
    <w:p>
      <w:pPr>
        <w:pStyle w:val="ListParagraph"/>
        <w:numPr>
          <w:ilvl w:val="0"/>
          <w:numId w:val="26"/>
        </w:num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Bloomberg New Energy Finance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의 재생에너지 시장 보고서</w:t>
      </w:r>
    </w:p>
    <w:p>
      <w:pPr>
        <w:pStyle w:val="ListParagraph"/>
        <w:numPr>
          <w:ilvl w:val="0"/>
          <w:numId w:val="26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SNE Research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제공 ESS·배터리 관련 산업 데이터</w:t>
      </w:r>
    </w:p>
    <w:p>
      <w:pPr>
        <w:pStyle w:val="ListParagraph"/>
        <w:numPr>
          <w:ilvl w:val="0"/>
          <w:numId w:val="26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금융감독원 전자공시시스템(DART)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제공 재무 데이터</w:t>
      </w:r>
    </w:p>
    <w:p>
      <w:pPr>
        <w:pStyle w:val="ListParagraph"/>
        <w:numPr>
          <w:ilvl w:val="0"/>
          <w:numId w:val="26"/>
        </w:numPr>
        <w:rPr>
          <w:rFonts w:ascii="함초롬바탕" w:eastAsia="함초롬바탕" w:hAnsi="함초롬바탕" w:cs="함초롬바탕" w:hint="default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산업 관련 학술 논문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(국내외 에너지저널, Renewable Energy 학회지 등)</w:t>
      </w:r>
    </w:p>
    <w:p>
      <w:pPr>
        <w:pStyle w:val="ListParagraph"/>
        <w:numPr>
          <w:ilvl w:val="0"/>
          <w:numId w:val="26"/>
        </w:num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주요 경제지·산업 뉴스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(한국경제, 매일경제, Nikkei Asia, Financial Times 등)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함초롬바탕">
    <w:panose1 w:val="02030604000101010101"/>
    <w:family w:val="HCR Batang"/>
    <w:charset w:val="00"/>
    <w:notTrueType w:val="false"/>
    <w:sig w:usb0="7FFFFFFF" w:usb1="19DFFFFF" w:usb2="001BFDD7" w:usb3="00000001" w:csb0="001F01FF" w:csb1="00000001"/>
  </w:font>
  <w:font w:name="HY견명조">
    <w:panose1 w:val="02030600000101010101"/>
    <w:family w:val="HYMyeongJo-Extra"/>
    <w:charset w:val="00"/>
    <w:notTrueType w:val="false"/>
    <w:sig w:usb0="7FFFFFFF" w:usb1="29D77CF9" w:usb2="00000010" w:usb3="00000001" w:csb0="00080000" w:csb1="00000001"/>
  </w:font>
  <w:font w:name="Courier">
    <w:charset w:val="00"/>
    <w:notTrueType w:val="false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7FFFFFFF" w:csb1="00000001"/>
  </w:font>
  <w:font w:name="Symbol">
    <w:panose1 w:val="05050102010706020507"/>
    <w:family w:val="Symbol"/>
    <w:charset w:val="00"/>
    <w:notTrueType w:val="false"/>
    <w:sig w:usb0="00000001" w:usb1="00000001" w:usb2="00000001" w:usb3="00000001" w:csb0="7FFFFFF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b60"/>
    <w:multiLevelType w:val="hybridMultilevel"/>
    <w:lvl w:ilvl="0" w:tplc="4090013">
      <w:start w:val="1"/>
      <w:numFmt w:val="upperRoman"/>
      <w:lvlText w:val="%1."/>
      <w:lvlJc w:val="left"/>
      <w:pPr>
        <w:ind w:left="80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200" w:right="0" w:hanging="400"/>
      </w:pPr>
      <w:rPr/>
    </w:lvl>
    <w:lvl w:ilvl="2" w:tplc="409001b">
      <w:start w:val="1"/>
      <w:numFmt w:val="lowerRoman"/>
      <w:lvlText w:val="%3."/>
      <w:lvlJc w:val="left"/>
      <w:pPr>
        <w:ind w:left="1600" w:right="0" w:hanging="400"/>
      </w:pPr>
      <w:rPr/>
    </w:lvl>
    <w:lvl w:ilvl="3" w:tplc="409000f">
      <w:start w:val="1"/>
      <w:lvlText w:val="%4."/>
      <w:lvlJc w:val="left"/>
      <w:pPr>
        <w:ind w:left="200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400" w:right="0" w:hanging="400"/>
      </w:pPr>
      <w:rPr/>
    </w:lvl>
    <w:lvl w:ilvl="5" w:tplc="409001b">
      <w:start w:val="1"/>
      <w:numFmt w:val="lowerRoman"/>
      <w:lvlText w:val="%6."/>
      <w:lvlJc w:val="left"/>
      <w:pPr>
        <w:ind w:left="2800" w:right="0" w:hanging="400"/>
      </w:pPr>
      <w:rPr/>
    </w:lvl>
    <w:lvl w:ilvl="6" w:tplc="409000f">
      <w:start w:val="1"/>
      <w:lvlText w:val="%7."/>
      <w:lvlJc w:val="left"/>
      <w:pPr>
        <w:ind w:left="320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3600" w:right="0" w:hanging="400"/>
      </w:pPr>
      <w:rPr/>
    </w:lvl>
    <w:lvl w:ilvl="8" w:tplc="409001b">
      <w:start w:val="1"/>
      <w:numFmt w:val="lowerRoman"/>
      <w:lvlText w:val="%9."/>
      <w:lvlJc w:val="left"/>
      <w:pPr>
        <w:ind w:left="4000" w:right="0" w:hanging="400"/>
      </w:pPr>
      <w:rPr/>
    </w:lvl>
  </w:abstractNum>
  <w:abstractNum w:abstractNumId="1">
    <w:nsid w:val="fffeff40"/>
    <w:multiLevelType w:val="hybridMultilevel"/>
    <w:lvl w:ilvl="0" w:tplc="409000f">
      <w:start w:val="1"/>
      <w:lvlText w:val="%1."/>
      <w:lvlJc w:val="left"/>
      <w:pPr>
        <w:ind w:left="112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520" w:right="0" w:hanging="400"/>
      </w:pPr>
      <w:rPr/>
    </w:lvl>
    <w:lvl w:ilvl="2" w:tplc="409001b">
      <w:start w:val="1"/>
      <w:numFmt w:val="lowerRoman"/>
      <w:lvlText w:val="%3."/>
      <w:lvlJc w:val="left"/>
      <w:pPr>
        <w:ind w:left="1920" w:right="0" w:hanging="400"/>
      </w:pPr>
      <w:rPr/>
    </w:lvl>
    <w:lvl w:ilvl="3" w:tplc="409000f">
      <w:start w:val="1"/>
      <w:lvlText w:val="%4."/>
      <w:lvlJc w:val="left"/>
      <w:pPr>
        <w:ind w:left="232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720" w:right="0" w:hanging="400"/>
      </w:pPr>
      <w:rPr/>
    </w:lvl>
    <w:lvl w:ilvl="5" w:tplc="409001b">
      <w:start w:val="1"/>
      <w:numFmt w:val="lowerRoman"/>
      <w:lvlText w:val="%6."/>
      <w:lvlJc w:val="left"/>
      <w:pPr>
        <w:ind w:left="3120" w:right="0" w:hanging="400"/>
      </w:pPr>
      <w:rPr/>
    </w:lvl>
    <w:lvl w:ilvl="6" w:tplc="409000f">
      <w:start w:val="1"/>
      <w:lvlText w:val="%7."/>
      <w:lvlJc w:val="left"/>
      <w:pPr>
        <w:ind w:left="352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3920" w:right="0" w:hanging="400"/>
      </w:pPr>
      <w:rPr/>
    </w:lvl>
    <w:lvl w:ilvl="8" w:tplc="409001b">
      <w:start w:val="1"/>
      <w:numFmt w:val="lowerRoman"/>
      <w:lvlText w:val="%9."/>
      <w:lvlJc w:val="left"/>
      <w:pPr>
        <w:ind w:left="4320" w:right="0" w:hanging="400"/>
      </w:pPr>
      <w:rPr/>
    </w:lvl>
  </w:abstractNum>
  <w:abstractNum w:abstractNumId="2">
    <w:nsid w:val="7bffff90"/>
    <w:multiLevelType w:val="hybridMultilevel"/>
    <w:lvl w:ilvl="0" w:tplc="409000f">
      <w:start w:val="1"/>
      <w:lvlText w:val="%1."/>
      <w:lvlJc w:val="left"/>
      <w:pPr>
        <w:ind w:left="120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600" w:right="0" w:hanging="400"/>
      </w:pPr>
      <w:rPr/>
    </w:lvl>
    <w:lvl w:ilvl="2" w:tplc="409001b">
      <w:start w:val="1"/>
      <w:numFmt w:val="lowerRoman"/>
      <w:lvlText w:val="%3."/>
      <w:lvlJc w:val="left"/>
      <w:pPr>
        <w:ind w:left="2000" w:right="0" w:hanging="400"/>
      </w:pPr>
      <w:rPr/>
    </w:lvl>
    <w:lvl w:ilvl="3" w:tplc="409000f">
      <w:start w:val="1"/>
      <w:lvlText w:val="%4."/>
      <w:lvlJc w:val="left"/>
      <w:pPr>
        <w:ind w:left="240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800" w:right="0" w:hanging="400"/>
      </w:pPr>
      <w:rPr/>
    </w:lvl>
    <w:lvl w:ilvl="5" w:tplc="409001b">
      <w:start w:val="1"/>
      <w:numFmt w:val="lowerRoman"/>
      <w:lvlText w:val="%6."/>
      <w:lvlJc w:val="left"/>
      <w:pPr>
        <w:ind w:left="3200" w:right="0" w:hanging="400"/>
      </w:pPr>
      <w:rPr/>
    </w:lvl>
    <w:lvl w:ilvl="6" w:tplc="409000f">
      <w:start w:val="1"/>
      <w:lvlText w:val="%7."/>
      <w:lvlJc w:val="left"/>
      <w:pPr>
        <w:ind w:left="360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4000" w:right="0" w:hanging="400"/>
      </w:pPr>
      <w:rPr/>
    </w:lvl>
    <w:lvl w:ilvl="8" w:tplc="409001b">
      <w:start w:val="1"/>
      <w:numFmt w:val="lowerRoman"/>
      <w:lvlText w:val="%9."/>
      <w:lvlJc w:val="left"/>
      <w:pPr>
        <w:ind w:left="4400" w:right="0" w:hanging="400"/>
      </w:pPr>
      <w:rPr/>
    </w:lvl>
  </w:abstractNum>
  <w:abstractNum w:abstractNumId="3">
    <w:nsid w:val="ffffff40"/>
    <w:multiLevelType w:val="hybridMultilevel"/>
    <w:lvl w:ilvl="0" w:tplc="409000f">
      <w:start w:val="1"/>
      <w:lvlText w:val="%1."/>
      <w:lvlJc w:val="left"/>
      <w:pPr>
        <w:ind w:left="112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520" w:right="0" w:hanging="400"/>
      </w:pPr>
      <w:rPr/>
    </w:lvl>
    <w:lvl w:ilvl="2" w:tplc="409001b">
      <w:start w:val="1"/>
      <w:numFmt w:val="lowerRoman"/>
      <w:lvlText w:val="%3."/>
      <w:lvlJc w:val="left"/>
      <w:pPr>
        <w:ind w:left="1920" w:right="0" w:hanging="400"/>
      </w:pPr>
      <w:rPr/>
    </w:lvl>
    <w:lvl w:ilvl="3" w:tplc="409000f">
      <w:start w:val="1"/>
      <w:lvlText w:val="%4."/>
      <w:lvlJc w:val="left"/>
      <w:pPr>
        <w:ind w:left="232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720" w:right="0" w:hanging="400"/>
      </w:pPr>
      <w:rPr/>
    </w:lvl>
    <w:lvl w:ilvl="5" w:tplc="409001b">
      <w:start w:val="1"/>
      <w:numFmt w:val="lowerRoman"/>
      <w:lvlText w:val="%6."/>
      <w:lvlJc w:val="left"/>
      <w:pPr>
        <w:ind w:left="3120" w:right="0" w:hanging="400"/>
      </w:pPr>
      <w:rPr/>
    </w:lvl>
    <w:lvl w:ilvl="6" w:tplc="409000f">
      <w:start w:val="1"/>
      <w:lvlText w:val="%7."/>
      <w:lvlJc w:val="left"/>
      <w:pPr>
        <w:ind w:left="352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3920" w:right="0" w:hanging="400"/>
      </w:pPr>
      <w:rPr/>
    </w:lvl>
    <w:lvl w:ilvl="8" w:tplc="409001b">
      <w:start w:val="1"/>
      <w:numFmt w:val="lowerRoman"/>
      <w:lvlText w:val="%9."/>
      <w:lvlJc w:val="left"/>
      <w:pPr>
        <w:ind w:left="4320" w:right="0" w:hanging="400"/>
      </w:pPr>
      <w:rPr/>
    </w:lvl>
  </w:abstractNum>
  <w:abstractNum w:abstractNumId="4">
    <w:nsid w:val="bf7dfc50"/>
    <w:multiLevelType w:val="hybridMultilevel"/>
    <w:lvl w:ilvl="0" w:tplc="409000f">
      <w:start w:val="1"/>
      <w:lvlText w:val="%1."/>
      <w:lvlJc w:val="left"/>
      <w:pPr>
        <w:ind w:left="120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600" w:right="0" w:hanging="400"/>
      </w:pPr>
      <w:rPr/>
    </w:lvl>
    <w:lvl w:ilvl="2" w:tplc="409001b">
      <w:start w:val="1"/>
      <w:numFmt w:val="lowerRoman"/>
      <w:lvlText w:val="%3."/>
      <w:lvlJc w:val="left"/>
      <w:pPr>
        <w:ind w:left="2000" w:right="0" w:hanging="400"/>
      </w:pPr>
      <w:rPr/>
    </w:lvl>
    <w:lvl w:ilvl="3" w:tplc="409000f">
      <w:start w:val="1"/>
      <w:lvlText w:val="%4."/>
      <w:lvlJc w:val="left"/>
      <w:pPr>
        <w:ind w:left="240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800" w:right="0" w:hanging="400"/>
      </w:pPr>
      <w:rPr/>
    </w:lvl>
    <w:lvl w:ilvl="5" w:tplc="409001b">
      <w:start w:val="1"/>
      <w:numFmt w:val="lowerRoman"/>
      <w:lvlText w:val="%6."/>
      <w:lvlJc w:val="left"/>
      <w:pPr>
        <w:ind w:left="3200" w:right="0" w:hanging="400"/>
      </w:pPr>
      <w:rPr/>
    </w:lvl>
    <w:lvl w:ilvl="6" w:tplc="409000f">
      <w:start w:val="1"/>
      <w:lvlText w:val="%7."/>
      <w:lvlJc w:val="left"/>
      <w:pPr>
        <w:ind w:left="360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4000" w:right="0" w:hanging="400"/>
      </w:pPr>
      <w:rPr/>
    </w:lvl>
    <w:lvl w:ilvl="8" w:tplc="409001b">
      <w:start w:val="1"/>
      <w:numFmt w:val="lowerRoman"/>
      <w:lvlText w:val="%9."/>
      <w:lvlJc w:val="left"/>
      <w:pPr>
        <w:ind w:left="4400" w:right="0" w:hanging="400"/>
      </w:pPr>
      <w:rPr/>
    </w:lvl>
  </w:abstractNum>
  <w:abstractNum w:abstractNumId="5">
    <w:nsid w:val="ffffef60"/>
    <w:multiLevelType w:val="hybridMultilevel"/>
    <w:lvl w:ilvl="0" w:tplc="409000f">
      <w:start w:val="1"/>
      <w:lvlText w:val="%1."/>
      <w:lvlJc w:val="left"/>
      <w:pPr>
        <w:ind w:left="120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600" w:right="0" w:hanging="400"/>
      </w:pPr>
      <w:rPr/>
    </w:lvl>
    <w:lvl w:ilvl="2" w:tplc="409001b">
      <w:start w:val="1"/>
      <w:numFmt w:val="lowerRoman"/>
      <w:lvlText w:val="%3."/>
      <w:lvlJc w:val="left"/>
      <w:pPr>
        <w:ind w:left="2000" w:right="0" w:hanging="400"/>
      </w:pPr>
      <w:rPr/>
    </w:lvl>
    <w:lvl w:ilvl="3" w:tplc="409000f">
      <w:start w:val="1"/>
      <w:lvlText w:val="%4."/>
      <w:lvlJc w:val="left"/>
      <w:pPr>
        <w:ind w:left="240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800" w:right="0" w:hanging="400"/>
      </w:pPr>
      <w:rPr/>
    </w:lvl>
    <w:lvl w:ilvl="5" w:tplc="409001b">
      <w:start w:val="1"/>
      <w:numFmt w:val="lowerRoman"/>
      <w:lvlText w:val="%6."/>
      <w:lvlJc w:val="left"/>
      <w:pPr>
        <w:ind w:left="3200" w:right="0" w:hanging="400"/>
      </w:pPr>
      <w:rPr/>
    </w:lvl>
    <w:lvl w:ilvl="6" w:tplc="409000f">
      <w:start w:val="1"/>
      <w:lvlText w:val="%7."/>
      <w:lvlJc w:val="left"/>
      <w:pPr>
        <w:ind w:left="360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4000" w:right="0" w:hanging="400"/>
      </w:pPr>
      <w:rPr/>
    </w:lvl>
    <w:lvl w:ilvl="8" w:tplc="409001b">
      <w:start w:val="1"/>
      <w:numFmt w:val="lowerRoman"/>
      <w:lvlText w:val="%9."/>
      <w:lvlJc w:val="left"/>
      <w:pPr>
        <w:ind w:left="4400" w:right="0" w:hanging="400"/>
      </w:pPr>
      <w:rPr/>
    </w:lvl>
  </w:abstractNum>
  <w:abstractNum w:abstractNumId="6">
    <w:nsid w:val="e7effe90"/>
    <w:multiLevelType w:val="hybridMultilevel"/>
    <w:lvl w:ilvl="0" w:tplc="409000f">
      <w:start w:val="1"/>
      <w:lvlText w:val="%1."/>
      <w:lvlJc w:val="left"/>
      <w:pPr>
        <w:ind w:left="120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600" w:right="0" w:hanging="400"/>
      </w:pPr>
      <w:rPr/>
    </w:lvl>
    <w:lvl w:ilvl="2" w:tplc="409001b">
      <w:start w:val="1"/>
      <w:numFmt w:val="lowerRoman"/>
      <w:lvlText w:val="%3."/>
      <w:lvlJc w:val="left"/>
      <w:pPr>
        <w:ind w:left="2000" w:right="0" w:hanging="400"/>
      </w:pPr>
      <w:rPr/>
    </w:lvl>
    <w:lvl w:ilvl="3" w:tplc="409000f">
      <w:start w:val="1"/>
      <w:lvlText w:val="%4."/>
      <w:lvlJc w:val="left"/>
      <w:pPr>
        <w:ind w:left="240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800" w:right="0" w:hanging="400"/>
      </w:pPr>
      <w:rPr/>
    </w:lvl>
    <w:lvl w:ilvl="5" w:tplc="409001b">
      <w:start w:val="1"/>
      <w:numFmt w:val="lowerRoman"/>
      <w:lvlText w:val="%6."/>
      <w:lvlJc w:val="left"/>
      <w:pPr>
        <w:ind w:left="3200" w:right="0" w:hanging="400"/>
      </w:pPr>
      <w:rPr/>
    </w:lvl>
    <w:lvl w:ilvl="6" w:tplc="409000f">
      <w:start w:val="1"/>
      <w:lvlText w:val="%7."/>
      <w:lvlJc w:val="left"/>
      <w:pPr>
        <w:ind w:left="360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4000" w:right="0" w:hanging="400"/>
      </w:pPr>
      <w:rPr/>
    </w:lvl>
    <w:lvl w:ilvl="8" w:tplc="409001b">
      <w:start w:val="1"/>
      <w:numFmt w:val="lowerRoman"/>
      <w:lvlText w:val="%9."/>
      <w:lvlJc w:val="left"/>
      <w:pPr>
        <w:ind w:left="4400" w:right="0" w:hanging="400"/>
      </w:pPr>
      <w:rPr/>
    </w:lvl>
  </w:abstractNum>
  <w:abstractNum w:abstractNumId="7">
    <w:nsid w:val="fff7dfe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8">
    <w:nsid w:val="7fffff4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9">
    <w:nsid w:val="ffff732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10">
    <w:nsid w:val="ff7ff78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11">
    <w:nsid w:val="ff7ff78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12">
    <w:nsid w:val="7fffff4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13">
    <w:nsid w:val="ffff732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14">
    <w:nsid w:val="ff7ff78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15">
    <w:nsid w:val="f7bffe5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16">
    <w:nsid w:val="fff7dfe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17">
    <w:nsid w:val="7bf7d7b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18">
    <w:nsid w:val="ffd7fe5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19">
    <w:nsid w:val="7fffff4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20">
    <w:nsid w:val="ffff732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21">
    <w:nsid w:val="ff7ff78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22">
    <w:nsid w:val="f7bffe5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23">
    <w:nsid w:val="fff7dfe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24">
    <w:nsid w:val="7bf7d7b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25">
    <w:nsid w:val="fffbf18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26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27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8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29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30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31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EastAsia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777"/>
    <w:lsdException w:name="toc 2" w:uiPriority="777"/>
    <w:lsdException w:name="toc 3" w:uiPriority="777"/>
    <w:lsdException w:name="toc 4" w:uiPriority="777"/>
    <w:lsdException w:name="toc 5" w:uiPriority="777"/>
    <w:lsdException w:name="toc 6" w:uiPriority="777"/>
    <w:lsdException w:name="toc 7" w:uiPriority="777"/>
    <w:lsdException w:name="toc 8" w:uiPriority="777"/>
    <w:lsdException w:name="toc 9" w:uiPriority="777"/>
    <w:lsdException w:name="caption" w:uiPriority="773" w:qFormat="1"/>
    <w:lsdException w:name="Title" w:semiHidden="0" w:uiPriority="82" w:unhideWhenUsed="0" w:qFormat="1"/>
    <w:lsdException w:name="Default Paragraph Font" w:uiPriority="1"/>
    <w:lsdException w:name="Subtitle" w:semiHidden="0" w:uiPriority="83" w:unhideWhenUsed="0" w:qFormat="1"/>
    <w:lsdException w:name="Strong" w:semiHidden="0" w:uiPriority="304" w:unhideWhenUsed="0" w:qFormat="1"/>
    <w:lsdException w:name="Emphasis" w:semiHidden="0" w:uiPriority="296" w:unhideWhenUsed="0" w:qFormat="1"/>
    <w:lsdException w:name="Table Grid" w:semiHidden="0" w:uiPriority="1925" w:unhideWhenUsed="0"/>
    <w:lsdException w:name="Placeholder Text" w:unhideWhenUsed="0"/>
    <w:lsdException w:name="No Spacing" w:semiHidden="0" w:uiPriority="1" w:unhideWhenUsed="0" w:qFormat="1"/>
    <w:lsdException w:name="Light Shading" w:semiHidden="0" w:uiPriority="2082" w:unhideWhenUsed="0"/>
    <w:lsdException w:name="Light List" w:semiHidden="0" w:uiPriority="2083" w:unhideWhenUsed="0"/>
    <w:lsdException w:name="Light Grid" w:semiHidden="0" w:uiPriority="2084" w:unhideWhenUsed="0"/>
    <w:lsdException w:name="Medium Shading 1" w:semiHidden="0" w:uiPriority="2085" w:unhideWhenUsed="0"/>
    <w:lsdException w:name="Medium Shading 2" w:semiHidden="0" w:uiPriority="5170" w:unhideWhenUsed="0"/>
    <w:lsdException w:name="Medium List 1" w:semiHidden="0" w:uiPriority="5171" w:unhideWhenUsed="0"/>
    <w:lsdException w:name="Medium List 2" w:semiHidden="0" w:uiPriority="5430" w:unhideWhenUsed="0"/>
    <w:lsdException w:name="Medium Grid 1" w:semiHidden="0" w:uiPriority="5431" w:unhideWhenUsed="0"/>
    <w:lsdException w:name="Medium Grid 2" w:semiHidden="0" w:uiPriority="5444" w:unhideWhenUsed="0"/>
    <w:lsdException w:name="Medium Grid 3" w:semiHidden="0" w:uiPriority="5445" w:unhideWhenUsed="0"/>
    <w:lsdException w:name="Dark List" w:semiHidden="0" w:uiPriority="5494" w:unhideWhenUsed="0"/>
    <w:lsdException w:name="Colorful Shading" w:semiHidden="0" w:uiPriority="5495" w:unhideWhenUsed="0"/>
    <w:lsdException w:name="Colorful List" w:semiHidden="0" w:uiPriority="5508" w:unhideWhenUsed="0"/>
    <w:lsdException w:name="Colorful Grid" w:semiHidden="0" w:uiPriority="5509" w:unhideWhenUsed="0"/>
    <w:lsdException w:name="Light Shading Accent 1" w:semiHidden="0" w:uiPriority="2082" w:unhideWhenUsed="0"/>
    <w:lsdException w:name="Light List Accent 1" w:semiHidden="0" w:uiPriority="2083" w:unhideWhenUsed="0"/>
    <w:lsdException w:name="Light Grid Accent 1" w:semiHidden="0" w:uiPriority="2084" w:unhideWhenUsed="0"/>
    <w:lsdException w:name="Medium Shading 1 Accent 1" w:semiHidden="0" w:uiPriority="2085" w:unhideWhenUsed="0"/>
    <w:lsdException w:name="Medium Shading 2 Accent 1" w:semiHidden="0" w:uiPriority="5170" w:unhideWhenUsed="0"/>
    <w:lsdException w:name="Medium List 1 Accent 1" w:semiHidden="0" w:uiPriority="5171" w:unhideWhenUsed="0"/>
    <w:lsdException w:name="Revision" w:unhideWhenUsed="0"/>
    <w:lsdException w:name="List Paragraph" w:semiHidden="0" w:uiPriority="772" w:unhideWhenUsed="0" w:qFormat="1"/>
    <w:lsdException w:name="Quote" w:semiHidden="0" w:uiPriority="599" w:unhideWhenUsed="0" w:qFormat="1"/>
    <w:lsdException w:name="Intense Quote" w:semiHidden="0" w:uiPriority="630" w:unhideWhenUsed="0" w:qFormat="1"/>
    <w:lsdException w:name="Medium List 2 Accent 1" w:semiHidden="0" w:uiPriority="5430" w:unhideWhenUsed="0"/>
    <w:lsdException w:name="Medium Grid 1 Accent 1" w:semiHidden="0" w:uiPriority="5431" w:unhideWhenUsed="0"/>
    <w:lsdException w:name="Medium Grid 2 Accent 1" w:semiHidden="0" w:uiPriority="5444" w:unhideWhenUsed="0"/>
    <w:lsdException w:name="Medium Grid 3 Accent 1" w:semiHidden="0" w:uiPriority="5445" w:unhideWhenUsed="0"/>
    <w:lsdException w:name="Dark List Accent 1" w:semiHidden="0" w:uiPriority="5494" w:unhideWhenUsed="0"/>
    <w:lsdException w:name="Colorful Shading Accent 1" w:semiHidden="0" w:uiPriority="5495" w:unhideWhenUsed="0"/>
    <w:lsdException w:name="Colorful List Accent 1" w:semiHidden="0" w:uiPriority="5508" w:unhideWhenUsed="0"/>
    <w:lsdException w:name="Colorful Grid Accent 1" w:semiHidden="0" w:uiPriority="5509" w:unhideWhenUsed="0"/>
    <w:lsdException w:name="Light Shading Accent 2" w:semiHidden="0" w:uiPriority="2082" w:unhideWhenUsed="0"/>
    <w:lsdException w:name="Light List Accent 2" w:semiHidden="0" w:uiPriority="2083" w:unhideWhenUsed="0"/>
    <w:lsdException w:name="Light Grid Accent 2" w:semiHidden="0" w:uiPriority="2084" w:unhideWhenUsed="0"/>
    <w:lsdException w:name="Medium Shading 1 Accent 2" w:semiHidden="0" w:uiPriority="2085" w:unhideWhenUsed="0"/>
    <w:lsdException w:name="Medium Shading 2 Accent 2" w:semiHidden="0" w:uiPriority="5170" w:unhideWhenUsed="0"/>
    <w:lsdException w:name="Medium List 1 Accent 2" w:semiHidden="0" w:uiPriority="5171" w:unhideWhenUsed="0"/>
    <w:lsdException w:name="Medium List 2 Accent 2" w:semiHidden="0" w:uiPriority="5430" w:unhideWhenUsed="0"/>
    <w:lsdException w:name="Medium Grid 1 Accent 2" w:semiHidden="0" w:uiPriority="5431" w:unhideWhenUsed="0"/>
    <w:lsdException w:name="Medium Grid 2 Accent 2" w:semiHidden="0" w:uiPriority="5444" w:unhideWhenUsed="0"/>
    <w:lsdException w:name="Medium Grid 3 Accent 2" w:semiHidden="0" w:uiPriority="5445" w:unhideWhenUsed="0"/>
    <w:lsdException w:name="Dark List Accent 2" w:semiHidden="0" w:uiPriority="5494" w:unhideWhenUsed="0"/>
    <w:lsdException w:name="Colorful Shading Accent 2" w:semiHidden="0" w:uiPriority="5495" w:unhideWhenUsed="0"/>
    <w:lsdException w:name="Colorful List Accent 2" w:semiHidden="0" w:uiPriority="5508" w:unhideWhenUsed="0"/>
    <w:lsdException w:name="Colorful Grid Accent 2" w:semiHidden="0" w:uiPriority="5509" w:unhideWhenUsed="0"/>
    <w:lsdException w:name="Light Shading Accent 3" w:semiHidden="0" w:uiPriority="2082" w:unhideWhenUsed="0"/>
    <w:lsdException w:name="Light List Accent 3" w:semiHidden="0" w:uiPriority="2083" w:unhideWhenUsed="0"/>
    <w:lsdException w:name="Light Grid Accent 3" w:semiHidden="0" w:uiPriority="2084" w:unhideWhenUsed="0"/>
    <w:lsdException w:name="Medium Shading 1 Accent 3" w:semiHidden="0" w:uiPriority="2085" w:unhideWhenUsed="0"/>
    <w:lsdException w:name="Medium Shading 2 Accent 3" w:semiHidden="0" w:uiPriority="5170" w:unhideWhenUsed="0"/>
    <w:lsdException w:name="Medium List 1 Accent 3" w:semiHidden="0" w:uiPriority="5171" w:unhideWhenUsed="0"/>
    <w:lsdException w:name="Medium List 2 Accent 3" w:semiHidden="0" w:uiPriority="5430" w:unhideWhenUsed="0"/>
    <w:lsdException w:name="Medium Grid 1 Accent 3" w:semiHidden="0" w:uiPriority="5431" w:unhideWhenUsed="0"/>
    <w:lsdException w:name="Medium Grid 2 Accent 3" w:semiHidden="0" w:uiPriority="5444" w:unhideWhenUsed="0"/>
    <w:lsdException w:name="Medium Grid 3 Accent 3" w:semiHidden="0" w:uiPriority="5445" w:unhideWhenUsed="0"/>
    <w:lsdException w:name="Dark List Accent 3" w:semiHidden="0" w:uiPriority="5494" w:unhideWhenUsed="0"/>
    <w:lsdException w:name="Colorful Shading Accent 3" w:semiHidden="0" w:uiPriority="5495" w:unhideWhenUsed="0"/>
    <w:lsdException w:name="Colorful List Accent 3" w:semiHidden="0" w:uiPriority="5508" w:unhideWhenUsed="0"/>
    <w:lsdException w:name="Colorful Grid Accent 3" w:semiHidden="0" w:uiPriority="5509" w:unhideWhenUsed="0"/>
    <w:lsdException w:name="Light Shading Accent 4" w:semiHidden="0" w:uiPriority="2082" w:unhideWhenUsed="0"/>
    <w:lsdException w:name="Light List Accent 4" w:semiHidden="0" w:uiPriority="2083" w:unhideWhenUsed="0"/>
    <w:lsdException w:name="Light Grid Accent 4" w:semiHidden="0" w:uiPriority="2084" w:unhideWhenUsed="0"/>
    <w:lsdException w:name="Medium Shading 1 Accent 4" w:semiHidden="0" w:uiPriority="2085" w:unhideWhenUsed="0"/>
    <w:lsdException w:name="Medium Shading 2 Accent 4" w:semiHidden="0" w:uiPriority="5170" w:unhideWhenUsed="0"/>
    <w:lsdException w:name="Medium List 1 Accent 4" w:semiHidden="0" w:uiPriority="5171" w:unhideWhenUsed="0"/>
    <w:lsdException w:name="Medium List 2 Accent 4" w:semiHidden="0" w:uiPriority="5430" w:unhideWhenUsed="0"/>
    <w:lsdException w:name="Medium Grid 1 Accent 4" w:semiHidden="0" w:uiPriority="5431" w:unhideWhenUsed="0"/>
    <w:lsdException w:name="Medium Grid 2 Accent 4" w:semiHidden="0" w:uiPriority="5444" w:unhideWhenUsed="0"/>
    <w:lsdException w:name="Medium Grid 3 Accent 4" w:semiHidden="0" w:uiPriority="5445" w:unhideWhenUsed="0"/>
    <w:lsdException w:name="Dark List Accent 4" w:semiHidden="0" w:uiPriority="5494" w:unhideWhenUsed="0"/>
    <w:lsdException w:name="Colorful Shading Accent 4" w:semiHidden="0" w:uiPriority="5495" w:unhideWhenUsed="0"/>
    <w:lsdException w:name="Colorful List Accent 4" w:semiHidden="0" w:uiPriority="5508" w:unhideWhenUsed="0"/>
    <w:lsdException w:name="Colorful Grid Accent 4" w:semiHidden="0" w:uiPriority="5509" w:unhideWhenUsed="0"/>
    <w:lsdException w:name="Light Shading Accent 5" w:semiHidden="0" w:uiPriority="2082" w:unhideWhenUsed="0"/>
    <w:lsdException w:name="Light List Accent 5" w:semiHidden="0" w:uiPriority="2083" w:unhideWhenUsed="0"/>
    <w:lsdException w:name="Light Grid Accent 5" w:semiHidden="0" w:uiPriority="2084" w:unhideWhenUsed="0"/>
    <w:lsdException w:name="Medium Shading 1 Accent 5" w:semiHidden="0" w:uiPriority="2085" w:unhideWhenUsed="0"/>
    <w:lsdException w:name="Medium Shading 2 Accent 5" w:semiHidden="0" w:uiPriority="5170" w:unhideWhenUsed="0"/>
    <w:lsdException w:name="Medium List 1 Accent 5" w:semiHidden="0" w:uiPriority="5171" w:unhideWhenUsed="0"/>
    <w:lsdException w:name="Medium List 2 Accent 5" w:semiHidden="0" w:uiPriority="5430" w:unhideWhenUsed="0"/>
    <w:lsdException w:name="Medium Grid 1 Accent 5" w:semiHidden="0" w:uiPriority="5431" w:unhideWhenUsed="0"/>
    <w:lsdException w:name="Medium Grid 2 Accent 5" w:semiHidden="0" w:uiPriority="5444" w:unhideWhenUsed="0"/>
    <w:lsdException w:name="Medium Grid 3 Accent 5" w:semiHidden="0" w:uiPriority="5445" w:unhideWhenUsed="0"/>
    <w:lsdException w:name="Dark List Accent 5" w:semiHidden="0" w:uiPriority="5494" w:unhideWhenUsed="0"/>
    <w:lsdException w:name="Colorful Shading Accent 5" w:semiHidden="0" w:uiPriority="5495" w:unhideWhenUsed="0"/>
    <w:lsdException w:name="Colorful List Accent 5" w:semiHidden="0" w:uiPriority="5508" w:unhideWhenUsed="0"/>
    <w:lsdException w:name="Colorful Grid Accent 5" w:semiHidden="0" w:uiPriority="5509" w:unhideWhenUsed="0"/>
    <w:lsdException w:name="Light Shading Accent 6" w:semiHidden="0" w:uiPriority="2082" w:unhideWhenUsed="0"/>
    <w:lsdException w:name="Light List Accent 6" w:semiHidden="0" w:uiPriority="2083" w:unhideWhenUsed="0"/>
    <w:lsdException w:name="Light Grid Accent 6" w:semiHidden="0" w:uiPriority="2084" w:unhideWhenUsed="0"/>
    <w:lsdException w:name="Medium Shading 1 Accent 6" w:semiHidden="0" w:uiPriority="2085" w:unhideWhenUsed="0"/>
    <w:lsdException w:name="Medium Shading 2 Accent 6" w:semiHidden="0" w:uiPriority="5170" w:unhideWhenUsed="0"/>
    <w:lsdException w:name="Medium List 1 Accent 6" w:semiHidden="0" w:uiPriority="5171" w:unhideWhenUsed="0"/>
    <w:lsdException w:name="Medium List 2 Accent 6" w:semiHidden="0" w:uiPriority="5430" w:unhideWhenUsed="0"/>
    <w:lsdException w:name="Medium Grid 1 Accent 6" w:semiHidden="0" w:uiPriority="5431" w:unhideWhenUsed="0"/>
    <w:lsdException w:name="Medium Grid 2 Accent 6" w:semiHidden="0" w:uiPriority="5444" w:unhideWhenUsed="0"/>
    <w:lsdException w:name="Medium Grid 3 Accent 6" w:semiHidden="0" w:uiPriority="5445" w:unhideWhenUsed="0"/>
    <w:lsdException w:name="Dark List Accent 6" w:semiHidden="0" w:uiPriority="5494" w:unhideWhenUsed="0"/>
    <w:lsdException w:name="Colorful Shading Accent 6" w:semiHidden="0" w:uiPriority="5495" w:unhideWhenUsed="0"/>
    <w:lsdException w:name="Colorful List Accent 6" w:semiHidden="0" w:uiPriority="5508" w:unhideWhenUsed="0"/>
    <w:lsdException w:name="Colorful Grid Accent 6" w:semiHidden="0" w:uiPriority="5509" w:unhideWhenUsed="0"/>
    <w:lsdException w:name="Subtle Emphasis" w:semiHidden="0" w:uiPriority="133" w:unhideWhenUsed="0" w:qFormat="1"/>
    <w:lsdException w:name="Intense Emphasis" w:semiHidden="0" w:uiPriority="297" w:unhideWhenUsed="0" w:qFormat="1"/>
    <w:lsdException w:name="Subtle Reference" w:semiHidden="0" w:uiPriority="631" w:unhideWhenUsed="0" w:qFormat="1"/>
    <w:lsdException w:name="Intense Reference" w:semiHidden="0" w:uiPriority="662" w:unhideWhenUsed="0" w:qFormat="1"/>
    <w:lsdException w:name="Book Title" w:semiHidden="0" w:uiPriority="663" w:unhideWhenUsed="0" w:qFormat="1"/>
    <w:lsdException w:name="Bibliography" w:uiPriority="775"/>
    <w:lsdException w:name="TOC Heading" w:uiPriority="777" w:qFormat="1"/>
  </w:latentStyles>
  <w:style w:type="paragraph" w:default="1" w:styleId="Normal">
    <w:name w:val="Normal"/>
    <w:qFormat/>
    <w:pPr>
      <w:autoSpaceDE w:val="off"/>
      <w:autoSpaceDN w:val="off"/>
      <w:widowControl w:val="off"/>
      <w:wordWrap w:val="off"/>
    </w:p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HAnsi" w:hAnsiTheme="majorHAnsi" w:cstheme="majorEastAsia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HAnsi" w:hAnsiTheme="majorHAnsi" w:cstheme="majorEastAsia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HAnsi" w:hAnsiTheme="majorHAnsi" w:cstheme="majorEastAsia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HAnsi" w:hAnsiTheme="majorHAnsi" w:cstheme="majorEastAsia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HAnsi" w:hAnsiTheme="majorHAnsi" w:cstheme="majorEastAsia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HAnsi" w:hAnsiTheme="majorHAnsi" w:cstheme="majorEastAsia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HAnsi" w:hAnsiTheme="majorHAnsi" w:cstheme="majorEastAsia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HAnsi" w:hAnsiTheme="majorHAnsi" w:cstheme="majorEastAsia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HAnsi" w:hAnsiTheme="majorHAnsi" w:cstheme="majorEastAsia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HAnsi" w:hAnsiTheme="majorHAnsi" w:cstheme="majorEastAsia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HAnsi" w:hAnsiTheme="majorHAnsi" w:cstheme="majorEastAsia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HAnsi" w:hAnsiTheme="majorHAnsi" w:cstheme="majorEastAsia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HAnsi" w:hAnsiTheme="majorHAnsi" w:cstheme="majorEastAsia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HAnsi" w:hAnsiTheme="majorHAnsi" w:cstheme="majorEastAsia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HAnsi" w:hAnsiTheme="majorHAnsi" w:cstheme="majorEastAsia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HAnsi" w:hAnsiTheme="majorHAnsi" w:cstheme="majorEastAsia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27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8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29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30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31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32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HAnsi" w:hAnsiTheme="majorHAnsi" w:cstheme="majorEastAsia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HAnsi" w:hAnsiTheme="majorHAnsi" w:cstheme="majorEastAsia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HAnsi" w:hAnsiTheme="majorHAnsi" w:cstheme="majorEastAsia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HAnsi" w:hAnsiTheme="majorHAnsi" w:cstheme="majorEastAsia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HAnsi" w:hAnsiTheme="majorHAnsi" w:cstheme="majorEastAsia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HAnsi" w:hAnsiTheme="majorHAnsi" w:cstheme="majorEastAsia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E1E1E1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E1E1E1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E4E8F1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F1E4E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BF0E4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E8E5EC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E3EEF3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BE3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dk1" w:themeTint="bf"/>
        <w:left w:val="single" w:sz="8" w:space="0" w:color="8C8C8C" w:themeColor="dk1" w:themeTint="bf"/>
        <w:bottom w:val="single" w:sz="8" w:space="0" w:color="8C8C8C" w:themeColor="dk1" w:themeTint="bf"/>
        <w:right w:val="single" w:sz="8" w:space="0" w:color="8C8C8C" w:themeColor="dk1" w:themeTint="bf"/>
        <w:insideH w:val="single" w:sz="8" w:space="0" w:color="8C8C8C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8C8C8C" w:themeColor="dk1" w:themeTint="bf"/>
          <w:left w:val="single" w:sz="8" w:space="0" w:color="8C8C8C" w:themeColor="dk1" w:themeTint="bf"/>
          <w:bottom w:val="single" w:sz="8" w:space="0" w:color="8C8C8C" w:themeColor="dk1" w:themeTint="bf"/>
          <w:right w:val="single" w:sz="8" w:space="0" w:color="8C8C8C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C8C8C" w:themeColor="dk1" w:themeTint="bf"/>
          <w:left w:val="single" w:sz="8" w:space="0" w:color="8C8C8C" w:themeColor="dk1" w:themeTint="bf"/>
          <w:bottom w:val="single" w:sz="8" w:space="0" w:color="8C8C8C" w:themeColor="dk1" w:themeTint="bf"/>
          <w:right w:val="single" w:sz="8" w:space="0" w:color="8C8C8C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1E1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1E1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8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E4E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F0E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5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EEF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BE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E1E1E1" w:themeFill="dk1" w:themeFillTint="3f"/>
      </w:tcPr>
    </w:tblStylePr>
    <w:tblStylePr w:type="band1Horz">
      <w:tblPr/>
      <w:tcPr>
        <w:shd w:val="clear" w:color="auto" w:fill="E1E1E1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shd w:val="clear" w:color="auto" w:fill="E4E8F1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shd w:val="clear" w:color="auto" w:fill="F1E4E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shd w:val="clear" w:color="auto" w:fill="EBF0E4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shd w:val="clear" w:color="auto" w:fill="E8E5EC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shd w:val="clear" w:color="auto" w:fill="E3EEF3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shd w:val="clear" w:color="auto" w:fill="FDEBE3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1E1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8F1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E4E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F0E4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5EC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EEF3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BE3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dk1" w:themeTint="bf"/>
        <w:left w:val="single" w:sz="8" w:space="0" w:color="8C8C8C" w:themeColor="dk1" w:themeTint="bf"/>
        <w:bottom w:val="single" w:sz="8" w:space="0" w:color="8C8C8C" w:themeColor="dk1" w:themeTint="bf"/>
        <w:right w:val="single" w:sz="8" w:space="0" w:color="8C8C8C" w:themeColor="dk1" w:themeTint="bf"/>
        <w:insideH w:val="single" w:sz="8" w:space="0" w:color="8C8C8C" w:themeColor="dk1" w:themeTint="bf"/>
        <w:insideV w:val="single" w:sz="8" w:space="0" w:color="8C8C8C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BDBD" w:themeFill="dk1" w:themeFillTint="7f"/>
      </w:tcPr>
    </w:tblStylePr>
    <w:tblStylePr w:type="band1Horz">
      <w:tblPr/>
      <w:tcPr>
        <w:shd w:val="clear" w:color="auto" w:fill="BDBDBD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  <w:insideV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ADD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  <w:insideV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2989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  <w:insideV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F9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  <w:insideV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C9FB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  <w:insideV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C5D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  <w:insideV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89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dk1" w:themeFillTint="3f"/>
    </w:tcPr>
    <w:tblStylePr w:type="firstRow">
      <w:rPr>
        <w:b/>
        <w:bCs/>
        <w:color w:val="000000"/>
      </w:rPr>
      <w:tblPr/>
      <w:tcPr>
        <w:shd w:val="clear" w:color="auto" w:fill="F4F4F4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7E7" w:themeFill="dk1" w:themeFillTint="33"/>
      </w:tcPr>
    </w:tblStylePr>
    <w:tblStylePr w:type="band1Vert">
      <w:tblPr/>
      <w:tcPr>
        <w:shd w:val="clear" w:color="auto" w:fill="BDBDBD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BDBDBD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color w:val="000000"/>
      </w:rPr>
      <w:tblPr/>
      <w:tcPr>
        <w:shd w:val="clear" w:color="auto" w:fill="F5F6FA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F4" w:themeFill="accent1" w:themeFillTint="33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C2CDE1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color w:val="000000"/>
      </w:rPr>
      <w:tblPr/>
      <w:tcPr>
        <w:shd w:val="clear" w:color="auto" w:fill="FAF5F5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9E9" w:themeFill="accent2" w:themeFillTint="33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E2C3C2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color w:val="000000"/>
      </w:rPr>
      <w:tblPr/>
      <w:tcPr>
        <w:shd w:val="clear" w:color="auto" w:fill="F7F9F5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3EA" w:themeFill="accent3" w:themeFillTint="33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D5E0C4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color w:val="000000"/>
      </w:rPr>
      <w:tblPr/>
      <w:tcPr>
        <w:shd w:val="clear" w:color="auto" w:fill="F6F5F8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AF0" w:themeFill="accent4" w:themeFillTint="33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CDC6D7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color w:val="000000"/>
      </w:rPr>
      <w:tblPr/>
      <w:tcPr>
        <w:shd w:val="clear" w:color="auto" w:fill="F5F8FA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1F5" w:themeFill="accent5" w:themeFillTint="33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C2DBE5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7F4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FE9" w:themeFill="accent6" w:themeFillTint="33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D3C1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DBDBD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DBDBD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2CDE1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2CDE1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E2C3C2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E2C3C2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5E0C4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5E0C4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C6D7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C6D7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2DBE5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2DBE5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D3C1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D3C1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CCCCCC" w:themeFill="dk1" w:themeFillTint="66"/>
      </w:tcPr>
    </w:tblStylePr>
    <w:tblStylePr w:type="band1Horz">
      <w:tblPr/>
      <w:tcPr>
        <w:shd w:val="clear" w:color="auto" w:fill="BDBDBD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D0D8E8" w:themeFill="accent1" w:themeFillTint="66"/>
      </w:tcPr>
    </w:tblStylePr>
    <w:tblStylePr w:type="band1Horz">
      <w:tblPr/>
      <w:tcPr>
        <w:shd w:val="clear" w:color="auto" w:fill="C2CDE1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8D0D0" w:themeFill="accent2" w:themeFillTint="66"/>
      </w:tcPr>
    </w:tblStylePr>
    <w:tblStylePr w:type="band1Horz">
      <w:tblPr/>
      <w:tcPr>
        <w:shd w:val="clear" w:color="auto" w:fill="E2C3C2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EE7D1" w:themeFill="accent3" w:themeFillTint="66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D8D3E0" w:themeFill="accent4" w:themeFillTint="66"/>
      </w:tcPr>
    </w:tblStylePr>
    <w:tblStylePr w:type="band1Horz">
      <w:tblPr/>
      <w:tcPr>
        <w:shd w:val="clear" w:color="auto" w:fill="CDC6D7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D0E3EA" w:themeFill="accent5" w:themeFillTint="66"/>
      </w:tcPr>
    </w:tblStylePr>
    <w:tblStylePr w:type="band1Horz">
      <w:tblPr/>
      <w:tcPr>
        <w:shd w:val="clear" w:color="auto" w:fill="C2DBE5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CDDCF" w:themeFill="accent6" w:themeFillTint="66"/>
      </w:tcPr>
    </w:tblStylePr>
    <w:tblStylePr w:type="band1Horz">
      <w:tblPr/>
      <w:tcPr>
        <w:shd w:val="clear" w:color="auto" w:fill="FBD3C1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1E1" w:themeFill="dk1" w:themeFillTint="3f"/>
      </w:tcPr>
    </w:tblStylePr>
    <w:tblStylePr w:type="band1Horz">
      <w:tblPr/>
      <w:tcPr>
        <w:shd w:val="clear" w:color="auto" w:fill="E7E7E7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shd w:val="clear" w:color="auto" w:fill="E9EDF4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shd w:val="clear" w:color="auto" w:fill="F4E9E9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shd w:val="clear" w:color="auto" w:fill="EFF3EA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shd w:val="clear" w:color="auto" w:fill="EDEAF0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shd w:val="clear" w:color="auto" w:fill="E9F1F5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shd w:val="clear" w:color="auto" w:fill="FDEFE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7E7E7" w:themeFill="dk1" w:themeFillTint="33"/>
    </w:tcPr>
    <w:tblStylePr w:type="firstRow">
      <w:rPr>
        <w:b/>
        <w:bCs/>
      </w:rPr>
      <w:tblPr/>
      <w:tcPr>
        <w:shd w:val="clear" w:color="auto" w:fill="CCCCCC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CCCCCC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BDBDBD" w:themeFill="dk1" w:themeFillTint="7f"/>
      </w:tcPr>
    </w:tblStylePr>
    <w:tblStylePr w:type="band1Horz">
      <w:tblPr/>
      <w:tcPr>
        <w:shd w:val="clear" w:color="auto" w:fill="BDBDBD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EDF4" w:themeFill="accent1" w:themeFillTint="33"/>
    </w:tcPr>
    <w:tblStylePr w:type="firstRow">
      <w:rPr>
        <w:b/>
        <w:bCs/>
      </w:rPr>
      <w:tblPr/>
      <w:tcPr>
        <w:shd w:val="clear" w:color="auto" w:fill="D0D8E8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D0D8E8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E9E9" w:themeFill="accent2" w:themeFillTint="33"/>
    </w:tcPr>
    <w:tblStylePr w:type="firstRow">
      <w:rPr>
        <w:b/>
        <w:bCs/>
      </w:rPr>
      <w:tblPr/>
      <w:tcPr>
        <w:shd w:val="clear" w:color="auto" w:fill="E8D0D0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8D0D0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F3EA" w:themeFill="accent3" w:themeFillTint="33"/>
    </w:tcPr>
    <w:tblStylePr w:type="firstRow">
      <w:rPr>
        <w:b/>
        <w:bCs/>
      </w:rPr>
      <w:tblPr/>
      <w:tcPr>
        <w:shd w:val="clear" w:color="auto" w:fill="DEE7D1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EE7D1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EAF0" w:themeFill="accent4" w:themeFillTint="33"/>
    </w:tcPr>
    <w:tblStylePr w:type="firstRow">
      <w:rPr>
        <w:b/>
        <w:bCs/>
      </w:rPr>
      <w:tblPr/>
      <w:tcPr>
        <w:shd w:val="clear" w:color="auto" w:fill="D8D3E0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D8D3E0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F1F5" w:themeFill="accent5" w:themeFillTint="33"/>
    </w:tcPr>
    <w:tblStylePr w:type="firstRow">
      <w:rPr>
        <w:b/>
        <w:bCs/>
      </w:rPr>
      <w:tblPr/>
      <w:tcPr>
        <w:shd w:val="clear" w:color="auto" w:fill="D0E3EA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D0E3EA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FE9" w:themeFill="accent6" w:themeFillTint="33"/>
    </w:tcPr>
    <w:tblStylePr w:type="firstRow">
      <w:rPr>
        <w:b/>
        <w:bCs/>
      </w:rPr>
      <w:tblPr/>
      <w:tcPr>
        <w:shd w:val="clear" w:color="auto" w:fill="FCDDCF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CDDCF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  <w:style w:type="table" w:customStyle="1" w:styleId="a0">
    <w:name w:val="Plain Table 1"/>
    <w:uiPriority w:val="41"/>
    <w:basedOn w:val="TableNormal"/>
    <w:pPr>
      <w:spacing w:after="0" w:line="240" w:lineRule="auto"/>
    </w:pPr>
    <w:tblPr>
      <w:tblBorders>
        <w:top w:val="single" w:sz="4" w:space="0" w:color="BFBFBF" w:themeColor="lt1" w:themeShade="bf"/>
        <w:left w:val="single" w:sz="4" w:space="0" w:color="BFBFBF" w:themeColor="lt1" w:themeShade="bf"/>
        <w:bottom w:val="single" w:sz="4" w:space="0" w:color="BFBFBF" w:themeColor="lt1" w:themeShade="bf"/>
        <w:right w:val="single" w:sz="4" w:space="0" w:color="BFBFBF" w:themeColor="lt1" w:themeShade="bf"/>
        <w:insideH w:val="single" w:sz="4" w:space="0" w:color="BFBFBF" w:themeColor="lt1" w:themeShade="bf"/>
        <w:insideV w:val="single" w:sz="4" w:space="0" w:color="BFBFBF" w:themeColor="lt1" w:themeShade="bf"/>
      </w:tblBorders>
      <w:tblStyleColBandSize w:val="1"/>
      <w:tblStyleRowBandSize w:val="1"/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lt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lt1" w:themeFillShade="f2"/>
      </w:tcPr>
    </w:tblStylePr>
    <w:tblStylePr w:type="band1Horz">
      <w:tblPr/>
      <w:tcPr>
        <w:shd w:val="clear" w:color="auto" w:fill="F2F2F2" w:themeFill="lt1" w:themeFillShade="f2"/>
      </w:tcPr>
    </w:tblStylePr>
  </w:style>
  <w:style w:type="paragraph" w:customStyle="1" w:styleId="a1">
    <w:name w:val="스타일1"/>
    <w:basedOn w:val="Normal"/>
    <w:qFormat/>
    <w:rPr>
      <w:rFonts w:ascii="함초롬바탕" w:eastAsia="함초롬바탕" w:hAnsi="함초롬바탕" w:cs="함초롬바탕" w:hint="default"/>
      <w:sz w:val="28"/>
    </w:rPr>
  </w:style>
  <w:style w:type="paragraph" w:customStyle="1" w:styleId="b1">
    <w:name w:val="바탕글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함초롬바탕" w:eastAsia="함초롬바탕"/>
      <w:strike w:val="off"/>
      <w:color w:val="000000"/>
      <w:sz w:val="20"/>
      <w:dstrike w:val="off"/>
      <w:shd w:val="clear" w:color="000000" w:fill="auto"/>
    </w:rPr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gkseh</cp:lastModifiedBy>
  <cp:revision>1</cp:revision>
  <dcterms:created xsi:type="dcterms:W3CDTF">2025-09-20T14:32:41Z</dcterms:created>
  <dcterms:modified xsi:type="dcterms:W3CDTF">2025-09-23T15:05:46Z</dcterms:modified>
  <cp:version>1300.0100.01</cp:version>
</cp:coreProperties>
</file>