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/>
          <w:rFonts w:ascii="함초롬바탕" w:eastAsia="함초롬바탕" w:hAnsi="함초롬바탕" w:cs="함초롬바탕" w:hint="default"/>
          <w:b/>
          <w:sz w:val="44"/>
          <w:rtl w:val="off"/>
        </w:rPr>
      </w:pPr>
      <w:bookmarkStart w:id="1" w:name="_top"/>
      <w:bookmarkEnd w:id="1"/>
      <w:r>
        <w:rPr>
          <w:lang/>
          <w:rFonts w:ascii="함초롬바탕" w:eastAsia="함초롬바탕" w:hAnsi="함초롬바탕" w:cs="함초롬바탕" w:hint="default"/>
          <w:b/>
          <w:sz w:val="44"/>
          <w:rtl w:val="off"/>
        </w:rPr>
        <mc:AlternateContent>
          <mc:Choice Requires="wps">
            <w:drawing>
              <wp:anchor distT="0" distB="0" distL="114300" distR="114300" behindDoc="0" locked="0" layoutInCell="1" simplePos="0" relativeHeight="251661312" allowOverlap="1" hidden="0">
                <wp:simplePos x="0" y="0"/>
                <wp:positionH relativeFrom="column">
                  <wp:posOffset>14061</wp:posOffset>
                </wp:positionH>
                <wp:positionV relativeFrom="paragraph">
                  <wp:posOffset>889725</wp:posOffset>
                </wp:positionV>
                <wp:extent cx="5460238" cy="97531"/>
                <wp:effectExtent l="0" t="0" r="0" b="0"/>
                <wp:wrapNone/>
                <wp:docPr id="1025" name="shape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TextEdit="1"/>
                      </wps:cNvSpPr>
                      <wps:spPr>
                        <a:xfrm>
                          <a:off x="1094196" y="2150200"/>
                          <a:ext cx="5460238" cy="97531"/>
                        </a:xfrm>
                        <a:prstGeom prst="rect">
                          <a:avLst/>
                        </a:prstGeom>
                        <a:solidFill>
                          <a:srgbClr val="087dbc">
                            <a:alpha val="10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5" style="position:absolute;margin-left:1.10717pt;margin-top:70.0571pt;width:429.94pt;height:7.67961pt;mso-position-horizontal-relative:column;mso-position-vertical-relative:line;v-text-anchor:middle;mso-wrap-style:square;z-index:1895822335" o:allowincell="t" filled="t" fillcolor="#087dbc" strokecolor="#395e8a" strokeweight="1pt">
                <v:stroke joinstyle="round"/>
              </v:rect>
            </w:pict>
          </mc:Fallback>
        </mc:AlternateContent>
      </w:r>
      <w:r>
        <w:rPr>
          <w:rFonts w:ascii="함초롬바탕" w:eastAsia="함초롬바탕" w:hAnsi="함초롬바탕" w:cs="함초롬바탕" w:hint="default"/>
          <w:b/>
          <w:sz w:val="44"/>
        </w:rPr>
        <w:br/>
      </w:r>
    </w:p>
    <w:p>
      <w:pPr>
        <w:jc w:val="center"/>
        <w:rPr>
          <w:rFonts w:ascii="함초롬바탕" w:eastAsia="함초롬바탕" w:hAnsi="함초롬바탕" w:cs="함초롬바탕" w:hint="default"/>
        </w:rPr>
      </w:pPr>
      <w:r>
        <w:rPr>
          <w:lang w:eastAsia="ko-KR"/>
          <w:rFonts w:ascii="함초롬바탕" w:eastAsia="함초롬바탕" w:hAnsi="함초롬바탕" w:cs="함초롬바탕" w:hint="default"/>
          <w:b/>
          <w:sz w:val="44"/>
          <w:rtl w:val="off"/>
        </w:rPr>
        <w:t>넥서스모터스</w:t>
      </w:r>
      <w:r>
        <w:rPr>
          <w:rFonts w:ascii="함초롬바탕" w:eastAsia="함초롬바탕" w:hAnsi="함초롬바탕" w:cs="함초롬바탕" w:hint="default"/>
          <w:b/>
          <w:sz w:val="44"/>
        </w:rPr>
        <w:t xml:space="preserve"> 투자 분</w:t>
      </w:r>
      <w:r>
        <w:rPr>
          <w:rFonts w:ascii="함초롬바탕" w:eastAsia="함초롬바탕" w:hAnsi="함초롬바탕" w:cs="함초롬바탕" w:hint="default"/>
          <w:b/>
          <w:sz w:val="44"/>
        </w:rPr>
        <w:t>석</w:t>
      </w:r>
      <w:r>
        <w:rPr>
          <w:rFonts w:ascii="함초롬바탕" w:eastAsia="함초롬바탕" w:hAnsi="함초롬바탕" w:cs="함초롬바탕" w:hint="default"/>
          <w:b/>
          <w:sz w:val="44"/>
        </w:rPr>
        <w:t xml:space="preserve"> 보고서</w:t>
      </w:r>
    </w:p>
    <w:p>
      <w:pPr>
        <w:jc w:val="center"/>
        <w:rPr>
          <w:rFonts w:ascii="함초롬바탕" w:eastAsia="함초롬바탕" w:hAnsi="함초롬바탕" w:cs="함초롬바탕" w:hint="default"/>
        </w:rPr>
      </w:pPr>
      <w:r>
        <w:rPr>
          <w:rFonts w:ascii="함초롬바탕" w:eastAsia="함초롬바탕" w:hAnsi="함초롬바탕" w:cs="함초롬바탕" w:hint="default"/>
          <w:sz w:val="40"/>
          <w:szCs w:val="40"/>
        </w:rPr>
        <w:t xml:space="preserve">Confidential </w:t>
      </w:r>
      <w:r>
        <w:rPr>
          <w:rFonts w:ascii="함초롬바탕" w:eastAsia="함초롬바탕" w:hAnsi="함초롬바탕" w:cs="함초롬바탕" w:hint="default"/>
          <w:sz w:val="44"/>
          <w:szCs w:val="44"/>
        </w:rPr>
        <w:t>documen</w:t>
      </w:r>
    </w:p>
    <w:p>
      <w:pPr>
        <w:rPr>
          <w:lang w:eastAsia="ko-KR"/>
          <w:rFonts w:ascii="함초롬바탕" w:eastAsia="함초롬바탕" w:hAnsi="함초롬바탕" w:cs="함초롬바탕" w:hint="eastAsia"/>
          <w:sz w:val="30"/>
          <w:rtl w:val="off"/>
        </w:rPr>
      </w:pPr>
      <w:r>
        <w:rPr>
          <w:lang/>
          <w:rFonts w:ascii="함초롬바탕" w:eastAsia="함초롬바탕" w:hAnsi="함초롬바탕" w:cs="함초롬바탕" w:hint="default"/>
          <w:b/>
          <w:sz w:val="44"/>
          <w:rtl w:val="off"/>
        </w:rPr>
        <mc:AlternateContent>
          <mc:Choice Requires="wps">
            <w:drawing>
              <wp:anchor distT="0" distB="0" distL="114300" distR="114300" behindDoc="0" locked="0" layoutInCell="1" simplePos="0" relativeHeight="251660288" allowOverlap="1" hidden="0">
                <wp:simplePos x="0" y="0"/>
                <wp:positionH relativeFrom="column">
                  <wp:posOffset>18142</wp:posOffset>
                </wp:positionH>
                <wp:positionV relativeFrom="paragraph">
                  <wp:posOffset>67583</wp:posOffset>
                </wp:positionV>
                <wp:extent cx="5460237" cy="97531"/>
                <wp:effectExtent l="0" t="0" r="0" b="0"/>
                <wp:wrapNone/>
                <wp:docPr id="1026" name="shape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TextEdit="1"/>
                      </wps:cNvSpPr>
                      <wps:spPr>
                        <a:xfrm>
                          <a:off x="1098277" y="3881113"/>
                          <a:ext cx="5460237" cy="97531"/>
                        </a:xfrm>
                        <a:prstGeom prst="rect">
                          <a:avLst/>
                        </a:prstGeom>
                        <a:solidFill>
                          <a:srgbClr val="087dbc">
                            <a:alpha val="10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style="position:absolute;margin-left:1.4285pt;margin-top:5.3215pt;width:429.94pt;height:7.67961pt;mso-position-horizontal-relative:column;mso-position-vertical-relative:line;v-text-anchor:middle;mso-wrap-style:square;z-index:1895823359" o:allowincell="t" filled="t" fillcolor="#087dbc" strokecolor="#395e8a" strokeweight="1pt">
                <v:stroke joinstyle="round"/>
              </v:rect>
            </w:pict>
          </mc:Fallback>
        </mc:AlternateContent>
      </w:r>
    </w:p>
    <w:p>
      <w:pPr>
        <w:rPr>
          <w:lang w:eastAsia="ko-KR"/>
          <w:rFonts w:ascii="함초롬바탕" w:eastAsia="함초롬바탕" w:hAnsi="함초롬바탕" w:cs="함초롬바탕" w:hint="eastAsia"/>
          <w:sz w:val="30"/>
          <w:rtl w:val="off"/>
        </w:rPr>
      </w:pPr>
    </w:p>
    <w:p>
      <w:pPr>
        <w:jc w:val="right"/>
        <w:rPr>
          <w:rFonts w:ascii="함초롬바탕" w:eastAsia="함초롬바탕" w:hAnsi="함초롬바탕" w:cs="함초롬바탕" w:hint="default"/>
          <w:sz w:val="32"/>
          <w:szCs w:val="32"/>
          <w:u w:color="auto"/>
        </w:rPr>
      </w:pPr>
      <w:r>
        <w:rPr>
          <w:rFonts w:ascii="함초롬바탕" w:eastAsia="함초롬바탕" w:hAnsi="함초롬바탕" w:cs="함초롬바탕" w:hint="default"/>
          <w:sz w:val="32"/>
          <w:szCs w:val="32"/>
          <w:u w:color="auto"/>
        </w:rPr>
        <w:t xml:space="preserve">작성일: </w:t>
      </w:r>
      <w:r>
        <w:rPr>
          <w:lang w:eastAsia="ko-KR"/>
          <w:rFonts w:ascii="함초롬바탕" w:eastAsia="함초롬바탕" w:hAnsi="함초롬바탕" w:cs="함초롬바탕" w:hint="default"/>
          <w:sz w:val="32"/>
          <w:szCs w:val="32"/>
          <w:u w:color="auto"/>
          <w:rtl w:val="off"/>
        </w:rPr>
        <w:t>2025-09-23</w:t>
      </w:r>
    </w:p>
    <w:p>
      <w:pPr>
        <w:jc w:val="right"/>
        <w:rPr>
          <w:lang/>
          <w:rFonts w:ascii="함초롬바탕" w:eastAsia="함초롬바탕" w:hAnsi="함초롬바탕" w:cs="함초롬바탕"/>
          <w:sz w:val="32"/>
          <w:szCs w:val="32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32"/>
          <w:szCs w:val="32"/>
          <w:u w:color="auto"/>
        </w:rPr>
        <w:t>작성자: 애널리스트 김현우</w:t>
      </w:r>
    </w:p>
    <w:p>
      <w:pPr>
        <w:jc w:val="right"/>
        <w:rPr>
          <w:lang/>
          <w:rFonts w:ascii="함초롬바탕" w:eastAsia="함초롬바탕" w:hAnsi="함초롬바탕" w:cs="함초롬바탕" w:hint="default"/>
          <w:b w:val="0"/>
          <w:sz w:val="32"/>
          <w:szCs w:val="32"/>
          <w:u w:color="auto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b w:val="0"/>
          <w:sz w:val="32"/>
          <w:szCs w:val="32"/>
          <w:u w:color="auto"/>
          <w:rtl w:val="off"/>
        </w:rPr>
        <w:t xml:space="preserve">Email: </w:t>
      </w:r>
      <w:r>
        <w:rPr>
          <w:rFonts w:ascii="함초롬바탕" w:eastAsia="함초롬바탕" w:hAnsi="함초롬바탕" w:cs="함초롬바탕"/>
          <w:b/>
          <w:sz w:val="32"/>
          <w:szCs w:val="32"/>
          <w:u w:color="auto"/>
          <w:shd w:val="clear" w:color="000000" w:fill="auto"/>
        </w:rPr>
        <w:t>wonseop82@korea.kr</w:t>
      </w: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tbl>
      <w:tblPr>
        <w:tblStyle w:val="a0"/>
        <w:tblpPr w:vertAnchor="text" w:horzAnchor="page" w:tblpX="3270" w:tblpY="532"/>
        <w:tblOverlap w:val="never"/>
        <w:tblLook w:val="04A0" w:firstRow="1" w:lastRow="0" w:firstColumn="1" w:lastColumn="0" w:noHBand="0" w:noVBand="1"/>
        <w:tblLayout w:type="autofit"/>
      </w:tblPr>
      <w:tblGrid>
        <w:gridCol w:w="2777"/>
        <w:gridCol w:w="277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7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>
            <w:pPr>
              <w:rPr>
                <w:lang/>
                <w:rFonts w:ascii="함초롬바탕" w:eastAsia="함초롬바탕" w:hAnsi="함초롬바탕" w:cs="함초롬바탕" w:hint="default"/>
                <w:sz w:val="30"/>
                <w:rtl w:val="off"/>
              </w:rPr>
            </w:pPr>
            <w:r>
              <w:rPr>
                <w:rFonts w:ascii="함초롬바탕" w:eastAsia="함초롬바탕" w:hAnsi="함초롬바탕" w:cs="함초롬바탕" w:hint="default"/>
              </w:rPr>
              <w:drawing>
                <wp:anchor distT="0" distB="0" distL="0" distR="0" behindDoc="0" locked="0" layoutInCell="1" simplePos="0" relativeHeight="251659264" allowOverlap="1" hidden="0">
                  <wp:simplePos x="0" y="0"/>
                  <wp:positionH relativeFrom="column">
                    <wp:posOffset>445694</wp:posOffset>
                  </wp:positionH>
                  <wp:positionV relativeFrom="paragraph">
                    <wp:posOffset>12737</wp:posOffset>
                  </wp:positionV>
                  <wp:extent cx="762889" cy="924432"/>
                  <wp:effectExtent l="0" t="0" r="0" b="0"/>
                  <wp:wrapSquare wrapText="bothSides"/>
                  <wp:docPr id="1027" name="shape10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shape1027"/>
                          <pic:cNvPicPr>
                            <a:picLocks noUngrp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889" cy="924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/>
                <w:rFonts w:ascii="함초롬바탕" w:eastAsia="함초롬바탕" w:hAnsi="함초롬바탕" w:cs="함초롬바탕" w:hint="default"/>
                <w:sz w:val="30"/>
                <w:rtl w:val="off"/>
              </w:rPr>
            </w:pPr>
            <w:r>
              <w:rPr>
                <w:rFonts w:ascii="함초롬바탕" w:eastAsia="함초롬바탕" w:hAnsi="함초롬바탕" w:cs="함초롬바탕" w:hint="default"/>
                <w:b/>
                <w:sz w:val="44"/>
              </w:rPr>
              <w:t>HS Capital</w:t>
            </w:r>
          </w:p>
        </w:tc>
      </w:tr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7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>
            <w:pPr>
              <w:rPr>
                <w:lang/>
                <w:rFonts w:ascii="함초롬바탕" w:eastAsia="함초롬바탕" w:hAnsi="함초롬바탕" w:cs="함초롬바탕" w:hint="default"/>
                <w:sz w:val="30"/>
                <w:rtl w:val="off"/>
              </w:rPr>
            </w:pP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/>
                <w:rFonts w:ascii="함초롬바탕" w:eastAsia="함초롬바탕" w:hAnsi="함초롬바탕" w:cs="함초롬바탕" w:hint="default"/>
                <w:sz w:val="30"/>
                <w:rtl w:val="off"/>
              </w:rPr>
            </w:pPr>
            <w:r>
              <w:rPr>
                <w:rFonts w:ascii="함초롬바탕" w:eastAsia="함초롬바탕" w:hAnsi="함초롬바탕" w:cs="함초롬바탕" w:hint="default"/>
                <w:b/>
                <w:sz w:val="44"/>
              </w:rPr>
              <w:t xml:space="preserve"> Investment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sz w:val="20"/>
          <w:szCs w:val="20"/>
          <w:rtl w:val="off"/>
        </w:rPr>
      </w:pPr>
    </w:p>
    <w:p>
      <w:pPr>
        <w:tabs>
          <w:tab w:val="left" w:pos="540"/>
        </w:tabs>
        <w:rPr>
          <w:caps w:val="off"/>
          <w:lang w:eastAsia="ko-KR"/>
          <w:rFonts w:ascii="함초롬바탕" w:eastAsia="함초롬바탕" w:hAnsi="함초롬바탕" w:cs="함초롬바탕" w:hint="eastAsia"/>
          <w:b w:val="0"/>
          <w:i w:val="0"/>
          <w:sz w:val="14"/>
          <w:szCs w:val="14"/>
          <w:rtl w:val="off"/>
        </w:rPr>
      </w:pPr>
    </w:p>
    <w:p>
      <w:pPr>
        <w:tabs>
          <w:tab w:val="left" w:pos="540"/>
        </w:tabs>
        <w:rPr>
          <w:caps w:val="off"/>
          <w:lang w:eastAsia="ko-KR"/>
          <w:rFonts w:ascii="함초롬바탕" w:eastAsia="함초롬바탕" w:hAnsi="함초롬바탕" w:cs="함초롬바탕" w:hint="eastAsia"/>
          <w:b w:val="0"/>
          <w:i w:val="0"/>
          <w:sz w:val="14"/>
          <w:szCs w:val="14"/>
          <w:rtl w:val="off"/>
        </w:rPr>
      </w:pPr>
    </w:p>
    <w:p>
      <w:pPr>
        <w:tabs>
          <w:tab w:val="left" w:pos="540"/>
        </w:tabs>
        <w:rPr>
          <w:caps w:val="off"/>
          <w:lang w:eastAsia="ko-KR"/>
          <w:rFonts w:ascii="함초롬바탕" w:eastAsia="함초롬바탕" w:hAnsi="함초롬바탕" w:cs="함초롬바탕" w:hint="eastAsia"/>
          <w:b w:val="0"/>
          <w:i w:val="0"/>
          <w:sz w:val="22"/>
          <w:szCs w:val="22"/>
          <w:rtl w:val="off"/>
        </w:rPr>
      </w:pPr>
      <w:r>
        <w:rPr>
          <w:rFonts w:ascii="함초롬바탕" w:eastAsia="함초롬바탕" w:hAnsi="함초롬바탕" w:cs="함초롬바탕" w:hint="default"/>
          <w:sz w:val="22"/>
          <w:szCs w:val="22"/>
        </w:rPr>
        <w:t>서울특별시 성북구 삼선교로 24길 17</w:t>
      </w:r>
    </w:p>
    <w:p>
      <w:pPr>
        <w:tabs>
          <w:tab w:val="left" w:pos="540"/>
        </w:tabs>
        <w:rPr>
          <w:caps w:val="off"/>
          <w:lang w:eastAsia="ko-KR"/>
          <w:rFonts w:ascii="함초롬바탕" w:eastAsia="함초롬바탕" w:hAnsi="함초롬바탕" w:cs="함초롬바탕" w:hint="eastAsia"/>
          <w:b w:val="0"/>
          <w:i w:val="0"/>
          <w:sz w:val="22"/>
          <w:szCs w:val="22"/>
          <w:rtl w:val="off"/>
        </w:rPr>
      </w:pPr>
    </w:p>
    <w:p>
      <w:pPr>
        <w:pStyle w:val="a1"/>
        <w:ind w:leftChars="0" w:left="800"/>
        <w:jc w:val="center"/>
        <w:tabs>
          <w:tab w:val="right" w:pos="1400" w:leader="middleDot"/>
          <w:tab w:val="right" w:pos="40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4"/>
          <w:szCs w:val="34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44"/>
          <w:szCs w:val="44"/>
          <w:rtl w:val="off"/>
        </w:rPr>
        <w:t>목차</w:t>
      </w: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rFonts w:ascii="함초롬바탕" w:eastAsia="함초롬바탕" w:hAnsi="함초롬바탕" w:cs="함초롬바탕" w:hint="default"/>
          <w:sz w:val="30"/>
          <w:szCs w:val="30"/>
        </w:rPr>
        <w:t>기업 개요 및 투자 요</w:t>
      </w:r>
      <w:r>
        <w:rPr>
          <w:lang w:eastAsia="ko-KR"/>
          <w:rFonts w:ascii="함초롬바탕" w:eastAsia="함초롬바탕" w:hAnsi="함초롬바탕" w:cs="함초롬바탕" w:hint="default"/>
          <w:sz w:val="30"/>
          <w:szCs w:val="30"/>
          <w:rtl w:val="off"/>
        </w:rPr>
        <w:t>약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1</w:t>
      </w:r>
    </w:p>
    <w:p>
      <w:pPr>
        <w:pStyle w:val="a1"/>
        <w:numPr>
          <w:ilvl w:val="0"/>
          <w:numId w:val="2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기업 개요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2</w:t>
      </w:r>
    </w:p>
    <w:p>
      <w:pPr>
        <w:pStyle w:val="a1"/>
        <w:numPr>
          <w:ilvl w:val="0"/>
          <w:numId w:val="2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경영진 및 지배 구조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3</w:t>
      </w:r>
    </w:p>
    <w:p>
      <w:pPr>
        <w:pStyle w:val="a1"/>
        <w:numPr>
          <w:ilvl w:val="0"/>
          <w:numId w:val="2"/>
        </w:numPr>
        <w:tabs>
          <w:tab w:val="right" w:pos="8600" w:leader="middleDot"/>
        </w:tabs>
        <w:spacing w:line="480"/>
        <w:rPr>
          <w:rFonts w:ascii="함초롬바탕" w:eastAsia="함초롬바탕" w:hAnsi="함초롬바탕" w:cs="함초롬바탕" w:hint="default"/>
          <w:sz w:val="24"/>
          <w:szCs w:val="24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투자 포인트 요약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4</w:t>
      </w: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rFonts w:ascii="함초롬바탕" w:eastAsia="함초롬바탕" w:hAnsi="함초롬바탕" w:cs="함초롬바탕" w:hint="default"/>
          <w:sz w:val="30"/>
          <w:szCs w:val="30"/>
        </w:rPr>
        <w:t>사업 및 재무 분석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5</w:t>
      </w:r>
    </w:p>
    <w:p>
      <w:pPr>
        <w:pStyle w:val="a1"/>
        <w:numPr>
          <w:ilvl w:val="0"/>
          <w:numId w:val="3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핵심 사업 분석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6</w:t>
      </w:r>
    </w:p>
    <w:p>
      <w:pPr>
        <w:pStyle w:val="a1"/>
        <w:numPr>
          <w:ilvl w:val="0"/>
          <w:numId w:val="3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재무 성과 및 추이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7</w:t>
      </w:r>
    </w:p>
    <w:p>
      <w:pPr>
        <w:pStyle w:val="a1"/>
        <w:numPr>
          <w:ilvl w:val="0"/>
          <w:numId w:val="3"/>
        </w:numPr>
        <w:tabs>
          <w:tab w:val="right" w:pos="8600" w:leader="middleDot"/>
        </w:tabs>
        <w:spacing w:line="480"/>
        <w:rPr>
          <w:rFonts w:ascii="함초롬바탕" w:eastAsia="함초롬바탕" w:hAnsi="함초롬바탕" w:cs="함초롬바탕" w:hint="default"/>
          <w:sz w:val="24"/>
          <w:szCs w:val="24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비용 구조 및 수익성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8</w:t>
      </w: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30"/>
          <w:szCs w:val="30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30"/>
          <w:szCs w:val="30"/>
        </w:rPr>
        <w:t>산업 및 시장 동향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9</w:t>
      </w:r>
    </w:p>
    <w:p>
      <w:pPr>
        <w:pStyle w:val="a1"/>
        <w:numPr>
          <w:ilvl w:val="0"/>
          <w:numId w:val="4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시장 규모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</w:p>
    <w:p>
      <w:pPr>
        <w:pStyle w:val="a1"/>
        <w:numPr>
          <w:ilvl w:val="0"/>
          <w:numId w:val="4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산업 성장성 분석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10</w:t>
      </w:r>
    </w:p>
    <w:p>
      <w:pPr>
        <w:pStyle w:val="a1"/>
        <w:numPr>
          <w:ilvl w:val="0"/>
          <w:numId w:val="4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경쟁 환경 분석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11</w:t>
      </w:r>
    </w:p>
    <w:p>
      <w:pPr>
        <w:tabs>
          <w:tab w:val="right" w:pos="8600" w:leader="middleDot"/>
        </w:tabs>
        <w:spacing w:line="480"/>
        <w:rPr>
          <w:rFonts w:ascii="함초롬바탕" w:eastAsia="함초롬바탕" w:hAnsi="함초롬바탕" w:cs="함초롬바탕" w:hint="default"/>
          <w:sz w:val="24"/>
          <w:szCs w:val="24"/>
        </w:rPr>
      </w:pP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30"/>
          <w:szCs w:val="30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30"/>
          <w:szCs w:val="30"/>
        </w:rPr>
        <w:t>리스크 및 기회 요인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12</w:t>
      </w:r>
    </w:p>
    <w:p>
      <w:pPr>
        <w:pStyle w:val="a1"/>
        <w:numPr>
          <w:ilvl w:val="0"/>
          <w:numId w:val="5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주요 리스크 요인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13</w:t>
      </w:r>
    </w:p>
    <w:p>
      <w:pPr>
        <w:pStyle w:val="a1"/>
        <w:numPr>
          <w:ilvl w:val="0"/>
          <w:numId w:val="5"/>
        </w:numPr>
        <w:tabs>
          <w:tab w:val="right" w:pos="8600" w:leader="middleDot"/>
        </w:tabs>
        <w:spacing w:line="480"/>
        <w:rPr>
          <w:rFonts w:ascii="함초롬바탕" w:eastAsia="함초롬바탕" w:hAnsi="함초롬바탕" w:cs="함초롬바탕" w:hint="default"/>
          <w:sz w:val="24"/>
          <w:szCs w:val="24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성장 기회 및 미래 전략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14</w:t>
      </w: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30"/>
          <w:szCs w:val="30"/>
          <w:rtl w:val="off"/>
        </w:rPr>
        <w:t>벨류에이션 및 결론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15</w:t>
      </w:r>
    </w:p>
    <w:p>
      <w:pPr>
        <w:pStyle w:val="a1"/>
        <w:numPr>
          <w:ilvl w:val="0"/>
          <w:numId w:val="6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가치 평가 모델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16</w:t>
      </w:r>
    </w:p>
    <w:p>
      <w:pPr>
        <w:pStyle w:val="a1"/>
        <w:numPr>
          <w:ilvl w:val="0"/>
          <w:numId w:val="6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목표 주가 및 투자 의견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17</w:t>
      </w:r>
    </w:p>
    <w:p>
      <w:pPr>
        <w:pStyle w:val="a1"/>
        <w:numPr>
          <w:ilvl w:val="0"/>
          <w:numId w:val="6"/>
        </w:numPr>
        <w:tabs>
          <w:tab w:val="right" w:pos="8600" w:leader="middleDot"/>
        </w:tabs>
        <w:spacing w:line="480"/>
        <w:rPr>
          <w:rFonts w:ascii="함초롬바탕" w:eastAsia="함초롬바탕" w:hAnsi="함초롬바탕" w:cs="함초롬바탕" w:hint="default"/>
          <w:sz w:val="24"/>
          <w:szCs w:val="24"/>
        </w:rPr>
      </w:pP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투자 시나리오 분석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30"/>
          <w:szCs w:val="30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30"/>
          <w:szCs w:val="30"/>
        </w:rPr>
        <w:t>부록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18</w:t>
      </w:r>
    </w:p>
    <w:p>
      <w:pPr>
        <w:pStyle w:val="a1"/>
        <w:numPr>
          <w:ilvl w:val="0"/>
          <w:numId w:val="7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재무제표 요약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19</w:t>
      </w:r>
    </w:p>
    <w:p>
      <w:pPr>
        <w:pStyle w:val="a1"/>
        <w:numPr>
          <w:ilvl w:val="0"/>
          <w:numId w:val="7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재무상태표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20</w:t>
      </w:r>
    </w:p>
    <w:p>
      <w:p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</w:p>
    <w:p>
      <w:p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</w:p>
    <w:p>
      <w:p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</w:p>
    <w:p>
      <w:p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0"/>
                <w:szCs w:val="30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Ⅰ</w:t>
            </w: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0"/>
                <w:szCs w:val="30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0"/>
                <w:szCs w:val="30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 xml:space="preserve">  기업 개요 및 투자요약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기업 개요</w:t>
            </w:r>
          </w:p>
        </w:tc>
      </w:tr>
    </w:tbl>
    <w:p>
      <w:pPr>
        <w:pStyle w:val="a1"/>
        <w:numPr>
          <w:ilvl w:val="0"/>
          <w:numId w:val="8"/>
        </w:numPr>
        <w:spacing w:line="360"/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기업명: 넥서스모터스 주식회사</w:t>
      </w:r>
    </w:p>
    <w:p>
      <w:pPr>
        <w:pStyle w:val="a1"/>
        <w:numPr>
          <w:ilvl w:val="0"/>
          <w:numId w:val="8"/>
        </w:numPr>
        <w:spacing w:line="360"/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대표자: 김철수</w:t>
      </w:r>
    </w:p>
    <w:p>
      <w:pPr>
        <w:pStyle w:val="a1"/>
        <w:numPr>
          <w:ilvl w:val="0"/>
          <w:numId w:val="8"/>
        </w:numPr>
        <w:spacing w:line="360"/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주요 사업장: 서울특별시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마포구 창업로 77, 모빌리티센터 5층</w:t>
      </w:r>
    </w:p>
    <w:p>
      <w:pPr>
        <w:pStyle w:val="a1"/>
        <w:numPr>
          <w:ilvl w:val="0"/>
          <w:numId w:val="8"/>
        </w:numPr>
        <w:spacing w:line="360"/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주요 사업: 자율주행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알고리즘 및 차량용 제어 시스템 개발</w:t>
      </w:r>
    </w:p>
    <w:p>
      <w:pPr>
        <w:pStyle w:val="a1"/>
        <w:numPr>
          <w:ilvl w:val="0"/>
          <w:numId w:val="8"/>
        </w:numPr>
        <w:spacing w:line="360"/>
        <w:rPr>
          <w:lang/>
          <w:rFonts w:ascii="함초롬바탕" w:eastAsia="함초롬바탕" w:hAnsi="함초롬바탕" w:cs="함초롬바탕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고객사/계약처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퓨처모빌리티, 네오드라이브, 오토링크테크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등</w:t>
      </w:r>
    </w:p>
    <w:p>
      <w:pPr>
        <w:pStyle w:val="a1"/>
        <w:numPr>
          <w:ilvl w:val="0"/>
          <w:numId w:val="8"/>
        </w:numPr>
        <w:spacing w:line="360"/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주주 구성:</w:t>
      </w:r>
    </w:p>
    <w:p>
      <w:pPr>
        <w:pStyle w:val="a1"/>
        <w:numPr>
          <w:ilvl w:val="1"/>
          <w:numId w:val="8"/>
        </w:numPr>
        <w:spacing w:line="360"/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최대주주: 강지혜 10%</w:t>
      </w:r>
    </w:p>
    <w:p>
      <w:pPr>
        <w:pStyle w:val="a1"/>
        <w:numPr>
          <w:ilvl w:val="1"/>
          <w:numId w:val="8"/>
        </w:numPr>
        <w:spacing w:line="360"/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재무적 투자자: 미래에셋15%</w:t>
      </w:r>
    </w:p>
    <w:p>
      <w:pPr>
        <w:pStyle w:val="a1"/>
        <w:numPr>
          <w:ilvl w:val="0"/>
          <w:numId w:val="8"/>
        </w:numPr>
        <w:spacing w:line="360"/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사업 규모:</w:t>
      </w:r>
    </w:p>
    <w:p>
      <w:pPr>
        <w:pStyle w:val="a1"/>
        <w:numPr>
          <w:ilvl w:val="1"/>
          <w:numId w:val="8"/>
        </w:numPr>
        <w:spacing w:line="360"/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매출: 1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20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억 원</w:t>
      </w:r>
    </w:p>
    <w:p>
      <w:pPr>
        <w:pStyle w:val="a1"/>
        <w:numPr>
          <w:ilvl w:val="1"/>
          <w:numId w:val="8"/>
        </w:numPr>
        <w:spacing w:line="360"/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영업이익: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8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억 원</w:t>
      </w:r>
    </w:p>
    <w:p>
      <w:pPr>
        <w:pStyle w:val="a1"/>
        <w:numPr>
          <w:ilvl w:val="1"/>
          <w:numId w:val="8"/>
        </w:numPr>
        <w:spacing w:line="360"/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직원 수: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95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명</w:t>
      </w:r>
    </w:p>
    <w:p>
      <w:pPr>
        <w:spacing w:line="360"/>
        <w:rPr>
          <w:rFonts w:ascii="함초롬바탕" w:eastAsia="함초롬바탕" w:hAnsi="함초롬바탕" w:cs="함초롬바탕" w:hint="default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경영진 및 지배 구조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u w:color="auto"/>
        </w:rPr>
      </w:pPr>
      <w:r>
        <w:rPr>
          <w:rFonts w:ascii="함초롬바탕" w:eastAsia="함초롬바탕" w:hAnsi="함초롬바탕" w:cs="함초롬바탕" w:hint="default"/>
          <w:u w:color="auto"/>
        </w:rPr>
        <w:t>이사회 구성</w:t>
      </w:r>
    </w:p>
    <w:p>
      <w:pPr>
        <w:pStyle w:val="a1"/>
        <w:numPr>
          <w:ilvl w:val="0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CEO 김철수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기업 경영 전반을 총괄하나, 대기업 출신이 아닌 만큼 글로벌 사업 경험은 제한적.</w:t>
      </w:r>
    </w:p>
    <w:p>
      <w:pPr>
        <w:pStyle w:val="a1"/>
        <w:numPr>
          <w:ilvl w:val="0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CFO 박영희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前 중견 증권사 임원 출신으로 재무 및 회계 관리 경험은 있으나, 스타트업 특화 자금 조달 경험은 부족.</w:t>
      </w:r>
    </w:p>
    <w:p>
      <w:pPr>
        <w:pStyle w:val="a1"/>
        <w:numPr>
          <w:ilvl w:val="0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CTO 최민수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前 자율주행 연구소 연구원 출신으로 기술 개발 및 R&amp;D 전략 총괄, 하지만 독창적 특허 포트폴리오는 아직 미흡.</w:t>
      </w:r>
    </w:p>
    <w:p>
      <w:pPr>
        <w:pStyle w:val="a1"/>
        <w:numPr>
          <w:ilvl w:val="0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주주 현황 (CONFIDENTIAL):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창업주 및 특수관계인: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38%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전략적 투자자(SI):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12%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재무적 투자자(FI):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15%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임직원 스톡옵션: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7%</w:t>
      </w:r>
    </w:p>
    <w:p>
      <w:pPr>
        <w:pStyle w:val="a1"/>
        <w:numPr>
          <w:ilvl w:val="0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지배 구조 특징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주주 구성은 창업팀 중심으로 안정적이지만,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외부 투자자 비중이 낮아 성장 가속화를 위한 자본력은 부족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.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특정 투자자의 경영 참여를 위한 의결권 차등은 없음.</w:t>
      </w:r>
    </w:p>
    <w:p>
      <w:pPr>
        <w:pStyle w:val="a1"/>
        <w:numPr>
          <w:ilvl w:val="1"/>
          <w:numId w:val="9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사외이사 2명 포함으로 최소한의 투명성은 확보했으나,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의사결정 구조가 보수적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이라는 지적 있음.</w:t>
      </w:r>
    </w:p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3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투자 포인트 요약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넥서스모터스는 자율주행 기술 분야에서 일정 수준의 입지를 확보했으나,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투자 매력도는 제한적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이다.</w:t>
      </w:r>
    </w:p>
    <w:p>
      <w:pPr>
        <w:pStyle w:val="a1"/>
        <w:numPr>
          <w:ilvl w:val="0"/>
          <w:numId w:val="1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성장세 둔화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최근 매출은 증가세를 보이고 있으나, 성장률은 업계 평균 수준에 머물고 있음.</w:t>
      </w:r>
    </w:p>
    <w:p>
      <w:pPr>
        <w:pStyle w:val="a1"/>
        <w:numPr>
          <w:ilvl w:val="0"/>
          <w:numId w:val="1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수익성 한계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영업이익률은 안정적이지만, 기술 고도화와 해외 진출에 필요한 추가 비용을 감안하면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중장기 수익성은 불확실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.</w:t>
      </w:r>
    </w:p>
    <w:p>
      <w:pPr>
        <w:pStyle w:val="a1"/>
        <w:numPr>
          <w:ilvl w:val="0"/>
          <w:numId w:val="1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기술 경쟁력 제약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딥러닝 기반 알고리즘은 보유하고 있으나, 글로벌 선도 기업 대비 차별성은 크지 않음.</w:t>
      </w:r>
    </w:p>
    <w:p>
      <w:pPr>
        <w:pStyle w:val="a1"/>
        <w:numPr>
          <w:ilvl w:val="0"/>
          <w:numId w:val="10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고객사 집중도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일부 대형 자동차 기업에 매출이 집중되어 있어 계약 변경 시 리스크가 큼.</w:t>
      </w:r>
    </w:p>
    <w:p>
      <w:pPr>
        <w:ind w:leftChars="0"/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Ⅱ</w:t>
            </w: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  <w:shd w:val="clear" w:color="000000" w:fill="auto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 xml:space="preserve"> 사업 및 재무 분석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4"/>
          <w:szCs w:val="24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핵심 사업 부문 분석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넥서스모터스의 핵심 사업은 자율주행 알고리즘 및 플랫폼 개발이지만,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국내외 대기업 대비 기술적 차별성은 제한적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이며,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시장 내 진입 장벽도 낮아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장기적 경쟁력은 불확실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하다.</w:t>
      </w:r>
    </w:p>
    <w:p>
      <w:pPr>
        <w:pStyle w:val="a1"/>
        <w:numPr>
          <w:ilvl w:val="0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제품 및 서비스</w:t>
      </w:r>
    </w:p>
    <w:p>
      <w:pPr>
        <w:pStyle w:val="a1"/>
        <w:numPr>
          <w:ilvl w:val="1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자율주행 시스템: 기본적인 안전 및 효율 기능 제공 (기술 수준은 업계 평균)</w:t>
      </w:r>
    </w:p>
    <w:p>
      <w:pPr>
        <w:pStyle w:val="a1"/>
        <w:numPr>
          <w:ilvl w:val="1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자율주행 플랫폼: 다양한 환경을 지원하나, 독자적인 서비스 모델은 부족</w:t>
      </w:r>
    </w:p>
    <w:p>
      <w:pPr>
        <w:pStyle w:val="a1"/>
        <w:numPr>
          <w:ilvl w:val="0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경쟁 우위 (제한적)</w:t>
      </w:r>
    </w:p>
    <w:p>
      <w:pPr>
        <w:pStyle w:val="a1"/>
        <w:numPr>
          <w:ilvl w:val="1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넥서스모터스의 알고리즘은 일정 성과를 보였으나,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글로벌 선도 기업 대비 뚜렷한 기술적 해자는 없음.</w:t>
      </w:r>
    </w:p>
    <w:p>
      <w:pPr>
        <w:pStyle w:val="a1"/>
        <w:numPr>
          <w:ilvl w:val="1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시장 내 위치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2024년 기준 국내 점유율 15%로 보이지만,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대기업 진출 확대 시 빠르게 하락할 위험 존재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.</w:t>
      </w:r>
    </w:p>
    <w:p>
      <w:pPr>
        <w:pStyle w:val="a1"/>
        <w:numPr>
          <w:ilvl w:val="0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성장 동력 (제한적)</w:t>
      </w:r>
    </w:p>
    <w:p>
      <w:pPr>
        <w:pStyle w:val="a1"/>
        <w:numPr>
          <w:ilvl w:val="1"/>
          <w:numId w:val="11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해외 진출 및 신기술 도입 계획은 있으나,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자금력·파트너십 부족으로 실행 가능성은 낮음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.</w:t>
      </w:r>
    </w:p>
    <w:p>
      <w:pP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재무 성과 및 추이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넥서스모터스는 최근 3년간 매출은 증가했으나,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외형 성장에 비해 수익성 개선은 제한적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이다.</w:t>
      </w:r>
    </w:p>
    <w:p>
      <w:pPr>
        <w:pStyle w:val="a1"/>
        <w:numPr>
          <w:ilvl w:val="0"/>
          <w:numId w:val="12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매출 및 영업이익 추이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지난 3년간 연평균 15%의 성장률을 기록했으나,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이는 업계 평균 수준에 불과하며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지속적 성장 동력 확보에는 한계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.</w:t>
      </w:r>
    </w:p>
    <w:tbl>
      <w:tblPr>
        <w:tblStyle w:val="b0"/>
        <w:tblLook w:val="04A0" w:firstRow="1" w:lastRow="0" w:firstColumn="1" w:lastColumn="0" w:noHBand="0" w:noVBand="1"/>
        <w:tblLayout w:type="autofit"/>
      </w:tblPr>
      <w:tblGrid>
        <w:gridCol w:w="2214"/>
        <w:gridCol w:w="2214"/>
        <w:gridCol w:w="2214"/>
        <w:gridCol w:w="221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구분</w:t>
            </w:r>
          </w:p>
        </w:tc>
        <w:tc>
          <w:tcPr>
            <w:tcW w:w="221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2022년</w:t>
            </w:r>
          </w:p>
        </w:tc>
        <w:tc>
          <w:tcPr>
            <w:tcW w:w="221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2023년</w:t>
            </w:r>
          </w:p>
        </w:tc>
        <w:tc>
          <w:tcPr>
            <w:tcW w:w="221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2024년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매출액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(억 원)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80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120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160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영업이익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(억 원)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5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8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12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순이익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(억 원)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3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4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재무 비율 분석</w:t>
      </w:r>
    </w:p>
    <w:p>
      <w:pPr>
        <w:pStyle w:val="a1"/>
        <w:numPr>
          <w:ilvl w:val="0"/>
          <w:numId w:val="1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수익성 지표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</w:t>
      </w:r>
    </w:p>
    <w:p>
      <w:pPr>
        <w:pStyle w:val="a1"/>
        <w:numPr>
          <w:ilvl w:val="1"/>
          <w:numId w:val="1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ROE는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6%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수준으로 업종 평균(15~20%)에 미치지 못함.</w:t>
      </w:r>
    </w:p>
    <w:p>
      <w:pPr>
        <w:pStyle w:val="a1"/>
        <w:numPr>
          <w:ilvl w:val="1"/>
          <w:numId w:val="1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순이익률은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2~3%대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로, 비용 구조 개선 없이는 큰 폭의 개선은 어려움.</w:t>
      </w:r>
    </w:p>
    <w:p>
      <w:pPr>
        <w:pStyle w:val="a1"/>
        <w:numPr>
          <w:ilvl w:val="0"/>
          <w:numId w:val="1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안정성 지표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</w:t>
      </w:r>
    </w:p>
    <w:p>
      <w:pPr>
        <w:pStyle w:val="a1"/>
        <w:numPr>
          <w:ilvl w:val="1"/>
          <w:numId w:val="1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부채비율은 약 55%로 업계 평균(60~70%)과 유사한 수준.</w:t>
      </w:r>
    </w:p>
    <w:p>
      <w:pPr>
        <w:pStyle w:val="a1"/>
        <w:numPr>
          <w:ilvl w:val="1"/>
          <w:numId w:val="13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유동비율은 75%로 단기 지급 능력은 확보했으나, 신규 투자 여력은 제한적.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3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비용 구조 및 수익성</w:t>
            </w:r>
          </w:p>
        </w:tc>
      </w:tr>
    </w:tbl>
    <w:p>
      <w:pPr>
        <w:pStyle w:val="a1"/>
        <w:numPr>
          <w:ilvl w:val="0"/>
          <w:numId w:val="1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매출원가 및 판관비 상세 분석</w:t>
      </w:r>
    </w:p>
    <w:p>
      <w:pPr>
        <w:pStyle w:val="a1"/>
        <w:numPr>
          <w:ilvl w:val="1"/>
          <w:numId w:val="1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매출원가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최근 2년간 원가율은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70% 수준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으로 높게 유지됨. 인건비 및 연구개발비 비중이 크고, 효율화 성과가 제한적이어서 원가 개선 여지는 크지 않음.</w:t>
      </w:r>
    </w:p>
    <w:p>
      <w:pPr>
        <w:pStyle w:val="a1"/>
        <w:numPr>
          <w:ilvl w:val="1"/>
          <w:numId w:val="14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판매관리비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판관비는 주로 마케팅 비용과 연구개발비로 구성. 특히 신규 고객 확보를 위한 마케팅 비용이 전년 대비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30% 증가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하며, 고정비 부담이 심화됨.</w:t>
      </w:r>
    </w:p>
    <w:p>
      <w:pPr>
        <w:pStyle w:val="a1"/>
        <w:numPr>
          <w:ilvl w:val="0"/>
          <w:numId w:val="1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인건비 효율성</w:t>
      </w:r>
    </w:p>
    <w:p>
      <w:pPr>
        <w:pStyle w:val="a1"/>
        <w:numPr>
          <w:ilvl w:val="1"/>
          <w:numId w:val="1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최근 기준, 직원 1인당 평균 매출액은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8억 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으로, 업종 평균(10억 원 이상)에 미치지 못함.</w:t>
      </w:r>
    </w:p>
    <w:p>
      <w:pPr>
        <w:pStyle w:val="a1"/>
        <w:numPr>
          <w:ilvl w:val="1"/>
          <w:numId w:val="1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이는 인력 구조의 효율성이 낮고, 대규모 매출 성장을 뒷받침하기 어려운 생산성을 보여줌.</w:t>
      </w:r>
    </w:p>
    <w:p>
      <w:pPr>
        <w:pStyle w:val="a1"/>
        <w:numPr>
          <w:ilvl w:val="0"/>
          <w:numId w:val="1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손익분기점 분석</w:t>
      </w:r>
    </w:p>
    <w:p>
      <w:pPr>
        <w:pStyle w:val="a1"/>
        <w:numPr>
          <w:ilvl w:val="1"/>
          <w:numId w:val="1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넥서스모터스의 손익분기점 매출액은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150억 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수준으로 추정되며, 현재 매출액 대비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90% 이상에 근접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.</w:t>
      </w:r>
    </w:p>
    <w:p>
      <w:pPr>
        <w:pStyle w:val="a1"/>
        <w:numPr>
          <w:ilvl w:val="1"/>
          <w:numId w:val="1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이는 매출이 조금만 하락해도 적자 전환 위험이 크다는 의미.</w:t>
      </w:r>
    </w:p>
    <w:p>
      <w:pPr>
        <w:pStyle w:val="a1"/>
        <w:numPr>
          <w:ilvl w:val="1"/>
          <w:numId w:val="14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핵심 제품인 자율주행 시스템의 영업이익률은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5~7% 수준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으로, 내부 목표치(15%)를 크게 밑돌고 있음.</w:t>
      </w:r>
    </w:p>
    <w:p>
      <w:pPr>
        <w:rPr>
          <w:lang w:eastAsia="ko-KR"/>
          <w:rFonts w:hint="eastAsia"/>
          <w:rtl w:val="off"/>
        </w:rPr>
      </w:pP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Ⅱ</w:t>
            </w: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  <w:shd w:val="clear" w:color="000000" w:fill="auto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 xml:space="preserve"> 산업 및 시장 동향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시장 규모</w:t>
            </w:r>
          </w:p>
        </w:tc>
      </w:tr>
    </w:tbl>
    <w:p>
      <w:pPr>
        <w:pStyle w:val="a1"/>
        <w:numPr>
          <w:ilvl w:val="0"/>
          <w:numId w:val="15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TAM</w:t>
      </w:r>
    </w:p>
    <w:p>
      <w:pPr>
        <w:pStyle w:val="a1"/>
        <w:numPr>
          <w:ilvl w:val="1"/>
          <w:numId w:val="15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자율주행 전체 시장 규모는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4,000억 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수준으로 추산됨.</w:t>
      </w:r>
    </w:p>
    <w:p>
      <w:pPr>
        <w:pStyle w:val="a1"/>
        <w:numPr>
          <w:ilvl w:val="1"/>
          <w:numId w:val="15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다만 향후 2023~2026년간 **연평균 성장률은 12~15%**에 그칠 것으로 보여, 폭발적인 성장은 기대하기 어려움.</w:t>
      </w:r>
    </w:p>
    <w:p>
      <w:pPr>
        <w:pStyle w:val="a1"/>
        <w:numPr>
          <w:ilvl w:val="0"/>
          <w:numId w:val="15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SAM</w:t>
      </w:r>
    </w:p>
    <w:p>
      <w:pPr>
        <w:pStyle w:val="a1"/>
        <w:numPr>
          <w:ilvl w:val="1"/>
          <w:numId w:val="15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넥서스모터스가 실제로 진출 가능한 상용차 자율주행 시장 규모는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300억~400억 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수준.</w:t>
      </w:r>
    </w:p>
    <w:p>
      <w:pPr>
        <w:pStyle w:val="a1"/>
        <w:numPr>
          <w:ilvl w:val="1"/>
          <w:numId w:val="15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이 시장은 주로 대기업 자동차 제조사들이 장악하고 있어, 스타트업 입장에서 경쟁 강도가 높음.</w:t>
      </w:r>
    </w:p>
    <w:p>
      <w:pPr>
        <w:pStyle w:val="a1"/>
        <w:numPr>
          <w:ilvl w:val="0"/>
          <w:numId w:val="15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SOM</w:t>
      </w:r>
    </w:p>
    <w:p>
      <w:pPr>
        <w:pStyle w:val="a1"/>
        <w:numPr>
          <w:ilvl w:val="1"/>
          <w:numId w:val="15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넥서스모터스가 단기적으로 확보 가능한 시장은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80억~100억 원 규모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에 불과.</w:t>
      </w:r>
    </w:p>
    <w:p>
      <w:pPr>
        <w:pStyle w:val="a1"/>
        <w:numPr>
          <w:ilvl w:val="1"/>
          <w:numId w:val="15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이는 TAM 대비 3% 수준에 머무르며, 실질적인 확장성은 낮음.</w:t>
      </w:r>
    </w:p>
    <w:p>
      <w:pPr>
        <w:pStyle w:val="a1"/>
        <w:numPr>
          <w:ilvl w:val="0"/>
          <w:numId w:val="15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내부 시장 분석</w:t>
      </w:r>
    </w:p>
    <w:p>
      <w:pPr>
        <w:pStyle w:val="a1"/>
        <w:numPr>
          <w:ilvl w:val="1"/>
          <w:numId w:val="15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내부 추정에 따르면 2023~2026년 동안 자율주행 시스템이 시장에 출시되더라도, 넥서스모터스가 현실적으로 확보할 수 있는 매출은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150억~200억 원 내외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에 불과.</w:t>
      </w:r>
    </w:p>
    <w:p>
      <w:pPr>
        <w:pStyle w:val="a1"/>
        <w:numPr>
          <w:ilvl w:val="1"/>
          <w:numId w:val="15"/>
        </w:numPr>
        <w:rPr>
          <w:b w:val="0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서울 일부 지역에서 자율주행 배송 서비스가 시범적으로 도입되더라도,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추가 성장 여력은 제한적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임.</w:t>
      </w:r>
    </w:p>
    <w:p>
      <w:pPr>
        <w:rPr>
          <w:lang w:eastAsia="ko-KR"/>
          <w:rFonts w:hint="eastAsia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산업 성장성 분석</w:t>
            </w:r>
          </w:p>
        </w:tc>
      </w:tr>
    </w:tbl>
    <w:p>
      <w:pPr>
        <w:pStyle w:val="a1"/>
        <w:numPr>
          <w:ilvl w:val="0"/>
          <w:numId w:val="16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기술 혁신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AI 기반 객체 인식 등 첨단 기술 상용화가 일부 진행되고 있으나, 기술 격차가 크고 상용화 속도도 더딤.</w:t>
      </w:r>
    </w:p>
    <w:p>
      <w:pPr>
        <w:pStyle w:val="a1"/>
        <w:numPr>
          <w:ilvl w:val="0"/>
          <w:numId w:val="16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정책적 지원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정부의 자율주행 관련 지원 정책은 존재하나, 실제 예산과 실행력은 제한적이어서 단기 성과 창출에는 한계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.</w:t>
      </w:r>
    </w:p>
    <w:p>
      <w:pPr>
        <w:pStyle w:val="a1"/>
        <w:numPr>
          <w:ilvl w:val="0"/>
          <w:numId w:val="16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수요 변화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자율주행에 대한 관심은 높지만, 안전성·신뢰성 문제로 인해 소비자 및 기업의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실제 도입 속도는 느림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.</w:t>
      </w: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3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경쟁 환경 분석</w:t>
            </w:r>
          </w:p>
        </w:tc>
      </w:tr>
    </w:tbl>
    <w:p>
      <w:pPr>
        <w:ind w:leftChars="0"/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경쟁사 분석</w:t>
      </w:r>
    </w:p>
    <w:p>
      <w:pPr>
        <w:pStyle w:val="a1"/>
        <w:numPr>
          <w:ilvl w:val="0"/>
          <w:numId w:val="17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네오드라이브(NeoDrive)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대기업 계열의 자본과 인프라를 기반으로 국내 자율주행 시장에서 가장 빠른 기술 상용화를 이끌어냈음. 막대한 투자 여력과 대규모 파트너십 네트워크를 바탕으로 점유율 확대 속도가 빠름.</w:t>
      </w:r>
    </w:p>
    <w:p>
      <w:pPr>
        <w:pStyle w:val="a1"/>
        <w:numPr>
          <w:ilvl w:val="0"/>
          <w:numId w:val="17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로보모빌(RoboMobil)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해외 시장에서 검증된 자율주행 플랫폼을 보유하고 있으며, 글로벌 OEM과의 협업 경험을 통해 안정적인 매출 구조를 구축. 국내 시장에서도 빠른 현지화 전략으로 기술 우위를 선점 중</w:t>
      </w:r>
    </w:p>
    <w:p>
      <w:pP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경쟁사 지표 비교</w:t>
      </w:r>
    </w:p>
    <w:tbl>
      <w:tblPr>
        <w:tblStyle w:val="b0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545"/>
        <w:gridCol w:w="2058"/>
        <w:gridCol w:w="2058"/>
        <w:gridCol w:w="2058"/>
        <w:gridCol w:w="1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gridAfter w:val="1"/>
          <w:wAfter w:w="1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5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구분</w:t>
            </w:r>
          </w:p>
        </w:tc>
        <w:tc>
          <w:tcPr>
            <w:tcW w:w="2058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넥서스모터스</w:t>
            </w:r>
          </w:p>
        </w:tc>
        <w:tc>
          <w:tcPr>
            <w:tcW w:w="2058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네오드라이브</w:t>
            </w:r>
          </w:p>
        </w:tc>
        <w:tc>
          <w:tcPr>
            <w:tcW w:w="2058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로보모빌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gridAfter w:val="1"/>
          <w:wAfter w:w="1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5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시장 점유율 (%)</w:t>
            </w:r>
          </w:p>
        </w:tc>
        <w:tc>
          <w:tcPr>
            <w:tcW w:w="2058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4%</w:t>
            </w:r>
          </w:p>
        </w:tc>
        <w:tc>
          <w:tcPr>
            <w:tcW w:w="2058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15%</w:t>
            </w:r>
          </w:p>
        </w:tc>
        <w:tc>
          <w:tcPr>
            <w:tcW w:w="2058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18%</w:t>
            </w:r>
          </w:p>
        </w:tc>
      </w:tr>
      <w:tr>
        <w:trPr>
          <w:gridAfter w:val="1"/>
          <w:wAfter w:w="1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5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영업이익률 (%)</w:t>
            </w:r>
          </w:p>
        </w:tc>
        <w:tc>
          <w:tcPr>
            <w:tcW w:w="2058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8%</w:t>
            </w:r>
          </w:p>
        </w:tc>
        <w:tc>
          <w:tcPr>
            <w:tcW w:w="2058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18%</w:t>
            </w:r>
          </w:p>
        </w:tc>
        <w:tc>
          <w:tcPr>
            <w:tcW w:w="2058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20%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gridAfter w:val="1"/>
          <w:wAfter w:w="1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5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직원 1인당 생산성</w:t>
            </w:r>
          </w:p>
        </w:tc>
        <w:tc>
          <w:tcPr>
            <w:tcW w:w="2058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70%</w:t>
            </w:r>
          </w:p>
        </w:tc>
        <w:tc>
          <w:tcPr>
            <w:tcW w:w="2058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9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0</w:t>
            </w: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%</w:t>
            </w:r>
          </w:p>
        </w:tc>
        <w:tc>
          <w:tcPr>
            <w:tcW w:w="2058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95</w:t>
            </w: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%</w:t>
            </w:r>
          </w:p>
        </w:tc>
      </w:tr>
      <w:tr>
        <w:trPr>
          <w:gridAfter w:val="1"/>
          <w:wAfter w:w="1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5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시장 규모 (억 원)</w:t>
            </w:r>
          </w:p>
        </w:tc>
        <w:tc>
          <w:tcPr>
            <w:tcW w:w="2058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100</w:t>
            </w:r>
          </w:p>
        </w:tc>
        <w:tc>
          <w:tcPr>
            <w:tcW w:w="2058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400</w:t>
            </w:r>
          </w:p>
        </w:tc>
        <w:tc>
          <w:tcPr>
            <w:tcW w:w="2058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500</w:t>
            </w:r>
          </w:p>
        </w:tc>
      </w:tr>
    </w:tbl>
    <w:p>
      <w:pPr>
        <w:ind w:leftChars="0"/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내부 경쟁 전략</w:t>
      </w:r>
    </w:p>
    <w:p>
      <w:pPr>
        <w:pStyle w:val="a1"/>
        <w:numPr>
          <w:ilvl w:val="0"/>
          <w:numId w:val="1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내부 분석에 따르면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네오드라이브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는 대기업 자본력을 활용해 2년 내 국내 시장 점유율을 20% 이상으로 끌어올릴 것으로 예상됨.</w:t>
      </w:r>
    </w:p>
    <w:p>
      <w:pPr>
        <w:pStyle w:val="a1"/>
        <w:numPr>
          <w:ilvl w:val="0"/>
          <w:numId w:val="1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로보모빌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은 글로벌 기업과의 협업을 통해 이미 안정적인 매출 파이프라인을 확보했으며, 국내 진입 이후에도 점유율 상승세가 뚜렷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.</w:t>
      </w:r>
    </w:p>
    <w:p>
      <w:pPr>
        <w:pStyle w:val="a1"/>
        <w:numPr>
          <w:ilvl w:val="0"/>
          <w:numId w:val="18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이에 비해 넥서스모터스는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자율주행 셔틀 조기 출시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로 일부 틈새시장을 노리고 있으나, 경쟁사 대비 기술 완성도와 자본력이 부족해 시장 확대에 제한적일 전망.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Ⅲ</w:t>
            </w: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  <w:shd w:val="clear" w:color="000000" w:fill="auto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 xml:space="preserve"> 리스크 및 기회 요인</w:t>
            </w:r>
          </w:p>
        </w:tc>
      </w:tr>
    </w:tbl>
    <w:p>
      <w:pPr>
        <w:rPr/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주요 리스크 요인</w:t>
            </w:r>
          </w:p>
        </w:tc>
      </w:tr>
    </w:tbl>
    <w:p>
      <w:pPr>
        <w:pStyle w:val="a1"/>
        <w:numPr>
          <w:ilvl w:val="0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경쟁 심화 및 시장 포화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리스크 내용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자율주행 시장은 대기업과 글로벌 선도 업체들이 본격적으로 진입하면서 경쟁 강도가 급격히 심화. 넥서스모터스는 상대적으로 제한된 자본력과 기술 인프라로 인해 시장 점유율 방어가 어려움.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영향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단기간 내 점유율 하락 가능성이 높으며, 수익성 압박 심화 예상.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대응 전략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기술 특허 강화 및 일부 고객과의 장기 계약 확대를 시도하나, 근본적인 경쟁력 열세를 만회하기에는 한계가 존재.</w:t>
      </w:r>
    </w:p>
    <w:p>
      <w:pPr>
        <w:pStyle w:val="a1"/>
        <w:numPr>
          <w:ilvl w:val="0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기술 변화 및 규제 리스크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리스크 내용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넥서스모터스의 주력 기술(딥러닝 기반 자율주행)은 이미 경쟁사들이 보유한 기술과 차별성이 점점 약화. AI·센서 융합 등 차세대 기술이 빠르게 발전하고 있어, 단기간 내 기술적 우위를 상실할 위험이 큼. 또한 개인정보 및 데이터 규제 강화는 솔루션 상용화에 걸림돌.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영향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기술 경쟁력 상실로 매출 성장 둔화, 규제 대응 비용 증가로 수익성 추가 악화 가능성.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대응 전략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R&amp;D 투자 확대를 명분으로 내세우지만, 제한된 자금 여력 때문에 실질적 성과를 기대하기 어려움.</w:t>
      </w:r>
    </w:p>
    <w:p>
      <w:pPr>
        <w:pStyle w:val="a1"/>
        <w:numPr>
          <w:ilvl w:val="0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고객사 의존도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리스크 내용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전체 매출의 대부분이 소수의 대형 고객사(약 50개)에 집중되어 있어, 특정 계약이 변경되거나 해지될 경우 회사 전체 매출에 심각한 타격 발생 가능성.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영향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안정적 수익 구조에 대한 불확실성 증가, 현금 흐름 악화 및 투자 매력 하락.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대응 전략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신규 고객 확보와 해외 시장 확장을 모색하나, 이미 경쟁사들이 선점한 시장 환경에서 뚜렷한 차별화 전략 부재.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성장 기회 및 미래 전략</w:t>
            </w:r>
          </w:p>
        </w:tc>
      </w:tr>
    </w:tbl>
    <w:p>
      <w:pPr>
        <w:pStyle w:val="a1"/>
        <w:numPr>
          <w:ilvl w:val="0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신규 시장 진출</w:t>
      </w:r>
    </w:p>
    <w:p>
      <w:pPr>
        <w:pStyle w:val="a1"/>
        <w:numPr>
          <w:ilvl w:val="1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전략 내용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국내 시장에서 확보한 경험을 바탕으로 미국 시장에 진출을 계획. 현지 센서 기술 업체와의 파트너십을 통해 진입을 모색 중.</w:t>
      </w:r>
    </w:p>
    <w:p>
      <w:pPr>
        <w:pStyle w:val="a1"/>
        <w:numPr>
          <w:ilvl w:val="1"/>
          <w:numId w:val="20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예상 효과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향후 3년간 미국 시장에서 연평균 15% 매출 성장을 목표로 하나, 경쟁사 대비 브랜드 인지도와 자본력이 낮아 달성 여부는 불투명.</w:t>
      </w:r>
    </w:p>
    <w:p>
      <w:pPr>
        <w:pStyle w:val="a1"/>
        <w:numPr>
          <w:ilvl w:val="0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제품 포트폴리오 확장</w:t>
      </w:r>
    </w:p>
    <w:p>
      <w:pPr>
        <w:pStyle w:val="a1"/>
        <w:numPr>
          <w:ilvl w:val="1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전략 내용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기존 솔루션인 자율주행 시스템 V1을 보완하는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도심형 자율주행 셔틀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을 개발 중. 2024년 6월 출시를 목표로 하고 있으며, 초기 투자 비용 부담이 큼.</w:t>
      </w:r>
    </w:p>
    <w:p>
      <w:pPr>
        <w:pStyle w:val="a1"/>
        <w:numPr>
          <w:ilvl w:val="1"/>
          <w:numId w:val="20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예상 효과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신제품 출시로 단기적 매출 증대 가능성이 있으나, 시장 수요 검증이 미흡해 상용화 성과는 제한적일 수 있음.</w:t>
      </w:r>
    </w:p>
    <w:p>
      <w:pPr>
        <w:pStyle w:val="a1"/>
        <w:numPr>
          <w:ilvl w:val="0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전략적 제휴</w:t>
      </w:r>
    </w:p>
    <w:p>
      <w:pPr>
        <w:pStyle w:val="a1"/>
        <w:numPr>
          <w:ilvl w:val="1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전략 내용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자동차 업계 선두 기업인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네트워크 솔루션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과 전략적 제휴 논의 중. 기술력과 영업망을 결합해 자율주행 플랫폼 공동 개발을 추진.</w:t>
      </w:r>
    </w:p>
    <w:p>
      <w:pPr>
        <w:pStyle w:val="a1"/>
        <w:numPr>
          <w:ilvl w:val="1"/>
          <w:numId w:val="20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예상 효과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제휴가 성사될 경우 중장기 매출 증대(5년간 최대 500억 원 수준)를 기대할 수 있으나, 협력사 의존도가 높아질 수 있다는 점에서 위험 요인 존재.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Ⅳ</w:t>
            </w:r>
            <w:r>
              <w:rPr>
                <w:rFonts w:ascii="HY견명조"/>
                <w:b/>
                <w:color w:val="FFFFFF"/>
                <w:sz w:val="42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>벨류에이션 및 결론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가치 평가 모델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PSR(주가매출비율)를 주된 방법론으로 적용</w:t>
      </w:r>
    </w:p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PSR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 모델 핵심 가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정</w:t>
      </w:r>
    </w:p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핵심 가정</w:t>
      </w:r>
    </w:p>
    <w:p>
      <w:pPr>
        <w:pStyle w:val="a1"/>
        <w:numPr>
          <w:ilvl w:val="0"/>
          <w:numId w:val="2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적용 매출액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2024년 기준 매출 1,200억 원 → 2025~2027년 연평균 20% 성장 가정</w:t>
      </w:r>
    </w:p>
    <w:p>
      <w:pPr>
        <w:pStyle w:val="a1"/>
        <w:numPr>
          <w:ilvl w:val="0"/>
          <w:numId w:val="2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적정 PSR 배수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동종 업계 평균 4.0배, 스타트업 리스크 반영해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2.0~2.5배 수준 적용</w:t>
      </w:r>
    </w:p>
    <w:p>
      <w:pPr>
        <w:pStyle w:val="a1"/>
        <w:numPr>
          <w:ilvl w:val="0"/>
          <w:numId w:val="21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주식 수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5천만 주 기준</w:t>
      </w:r>
    </w:p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lang w:eastAsia="ko-KR"/>
          <w:rFonts w:ascii="함초롬바탕" w:eastAsia="함초롬바탕" w:hAnsi="함초롬바탕" w:cs="함초롬바탕" w:hint="default"/>
          <w:b w:val="0"/>
          <w:sz w:val="28"/>
          <w:szCs w:val="28"/>
          <w:u w:color="auto"/>
          <w:rtl w:val="off"/>
        </w:rPr>
        <w:t>매출 및 벨류에이션 추정</w:t>
      </w:r>
    </w:p>
    <w:tbl>
      <w:tblPr>
        <w:tblStyle w:val="b0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180"/>
        <w:gridCol w:w="2180"/>
        <w:gridCol w:w="2180"/>
        <w:gridCol w:w="218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구분</w:t>
            </w:r>
          </w:p>
        </w:tc>
        <w:tc>
          <w:tcPr>
            <w:tcW w:w="2180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2025</w:t>
            </w:r>
          </w:p>
        </w:tc>
        <w:tc>
          <w:tcPr>
            <w:tcW w:w="2180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2026</w:t>
            </w:r>
          </w:p>
        </w:tc>
        <w:tc>
          <w:tcPr>
            <w:tcW w:w="2180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2027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매출액 (억 원)</w:t>
            </w:r>
          </w:p>
        </w:tc>
        <w:tc>
          <w:tcPr>
            <w:tcW w:w="218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1,500</w:t>
            </w:r>
          </w:p>
        </w:tc>
        <w:tc>
          <w:tcPr>
            <w:tcW w:w="218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1,800</w:t>
            </w:r>
          </w:p>
        </w:tc>
        <w:tc>
          <w:tcPr>
            <w:tcW w:w="218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2,200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적용 PSR (배)</w:t>
            </w:r>
          </w:p>
        </w:tc>
        <w:tc>
          <w:tcPr>
            <w:tcW w:w="21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2.0</w:t>
            </w:r>
          </w:p>
        </w:tc>
        <w:tc>
          <w:tcPr>
            <w:tcW w:w="21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2.2</w:t>
            </w:r>
          </w:p>
        </w:tc>
        <w:tc>
          <w:tcPr>
            <w:tcW w:w="21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2.5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기업가치 (억 원)</w:t>
            </w:r>
          </w:p>
        </w:tc>
        <w:tc>
          <w:tcPr>
            <w:tcW w:w="218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3,000</w:t>
            </w:r>
          </w:p>
        </w:tc>
        <w:tc>
          <w:tcPr>
            <w:tcW w:w="218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3,960</w:t>
            </w:r>
          </w:p>
        </w:tc>
        <w:tc>
          <w:tcPr>
            <w:tcW w:w="218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5,500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주당 가치 (원)</w:t>
            </w:r>
          </w:p>
        </w:tc>
        <w:tc>
          <w:tcPr>
            <w:tcW w:w="21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6,000</w:t>
            </w:r>
          </w:p>
        </w:tc>
        <w:tc>
          <w:tcPr>
            <w:tcW w:w="21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7,920</w:t>
            </w:r>
          </w:p>
        </w:tc>
        <w:tc>
          <w:tcPr>
            <w:tcW w:w="21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11,000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</w:p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시사점</w:t>
      </w:r>
    </w:p>
    <w:p>
      <w:pPr>
        <w:pStyle w:val="a1"/>
        <w:numPr>
          <w:ilvl w:val="0"/>
          <w:numId w:val="22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현재 매출 성장세는 유효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하나,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영업이익률 변동성이 크고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고객사 의존도가 높음.</w:t>
      </w:r>
    </w:p>
    <w:p>
      <w:pPr>
        <w:pStyle w:val="a1"/>
        <w:numPr>
          <w:ilvl w:val="0"/>
          <w:numId w:val="22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업계 평균 PSR 대비 낮은 배수를 적용해야 현실적이며, 결과적으로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밸류에이션 상방 여력은 제한적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.</w:t>
      </w:r>
    </w:p>
    <w:p>
      <w:pPr>
        <w:pStyle w:val="a1"/>
        <w:numPr>
          <w:ilvl w:val="0"/>
          <w:numId w:val="22"/>
        </w:numPr>
        <w:rPr>
          <w:b w:val="0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현 시점에서 매력적인 투자처로 보기는 어려우며,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향후 기술 상용화 및 안정적 고객 다변화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가 이루어져야만 추가적인 가치 재평가 가능.</w:t>
      </w:r>
    </w:p>
    <w:p>
      <w:pPr>
        <w:rPr/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 목표 주가 및 투자 의견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가치 평가 결과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PSR 기반 모델을 통해 산출된 넥서스모터스의 내재가치는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350억 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으로 평가된다. 이를 발행 주식수(5천만 주)로 나누면 목표 주가는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7,000원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수준이다. 이는 현재 주가(8,000원) 대비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하락 위험이 존재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함을 시사한다.</w:t>
      </w:r>
    </w:p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</w:p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경쟁사 밸류에이션 비교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넥서스모터스의 밸류에이션이 경쟁사 대비 적정한지 판단하기 위해 국내 주요 경쟁사들과 비교한 결과,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동종 업계 강자인 네오드라이브와 로보모빌에 비해 상대적으로 열위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에 있는 것으로 나타났다.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</w:p>
    <w:tbl>
      <w:tblPr>
        <w:tblStyle w:val="b0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639"/>
        <w:gridCol w:w="2026"/>
        <w:gridCol w:w="2026"/>
        <w:gridCol w:w="2026"/>
        <w:gridCol w:w="1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gridAfter w:val="1"/>
          <w:wAfter w:w="1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9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구분</w:t>
            </w:r>
          </w:p>
        </w:tc>
        <w:tc>
          <w:tcPr>
            <w:tcW w:w="2026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넥서스모터스</w:t>
            </w:r>
          </w:p>
        </w:tc>
        <w:tc>
          <w:tcPr>
            <w:tcW w:w="2026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네오드라이브</w:t>
            </w:r>
          </w:p>
        </w:tc>
        <w:tc>
          <w:tcPr>
            <w:tcW w:w="2026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로보모빌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gridAfter w:val="1"/>
          <w:wAfter w:w="1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9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주가수익비율 (PER)</w:t>
            </w:r>
          </w:p>
        </w:tc>
        <w:tc>
          <w:tcPr>
            <w:tcW w:w="2026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18배</w:t>
            </w:r>
          </w:p>
        </w:tc>
        <w:tc>
          <w:tcPr>
            <w:tcW w:w="2026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12배</w:t>
            </w:r>
          </w:p>
        </w:tc>
        <w:tc>
          <w:tcPr>
            <w:tcW w:w="2026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14배</w:t>
            </w:r>
          </w:p>
        </w:tc>
      </w:tr>
      <w:tr>
        <w:trPr>
          <w:gridAfter w:val="1"/>
          <w:wAfter w:w="1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9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주가매출비율 (PSR)</w:t>
            </w:r>
          </w:p>
        </w:tc>
        <w:tc>
          <w:tcPr>
            <w:tcW w:w="2026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6배</w:t>
            </w:r>
          </w:p>
        </w:tc>
        <w:tc>
          <w:tcPr>
            <w:tcW w:w="2026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9배</w:t>
            </w:r>
          </w:p>
        </w:tc>
        <w:tc>
          <w:tcPr>
            <w:tcW w:w="2026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8배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gridAfter w:val="1"/>
          <w:wAfter w:w="1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9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기업가치/EBITDA (EV/EBITDA)</w:t>
            </w:r>
          </w:p>
        </w:tc>
        <w:tc>
          <w:tcPr>
            <w:tcW w:w="2026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20배</w:t>
            </w:r>
          </w:p>
        </w:tc>
        <w:tc>
          <w:tcPr>
            <w:tcW w:w="2026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11배</w:t>
            </w:r>
          </w:p>
        </w:tc>
        <w:tc>
          <w:tcPr>
            <w:tcW w:w="2026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12배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</w:p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넥서스모터스는 현 시점에서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상승 여력이 제한적이고 하방 리스크가 더 크다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는 점에서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투자의견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은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 보류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또는 비추천으로 판단된다.</w:t>
      </w:r>
    </w:p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의견 및 해석</w:t>
      </w:r>
    </w:p>
    <w:p>
      <w:pPr>
        <w:pStyle w:val="a1"/>
        <w:numPr>
          <w:ilvl w:val="0"/>
          <w:numId w:val="2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성장 모멘텀 부족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신규 시장 진출과 신제품 출시 계획이 있으나,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네오드라이브·로보모빌 대비 성장 속도가 뚜렷하지 않음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.</w:t>
      </w:r>
    </w:p>
    <w:p>
      <w:pPr>
        <w:pStyle w:val="a1"/>
        <w:numPr>
          <w:ilvl w:val="0"/>
          <w:numId w:val="2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기술 경쟁력 열위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넥서스모터스의 딥러닝 기반 기술은 일부 차별화 요소가 있으나,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네오드라이브의 고도화된 자율주행 알고리즘과 로보모빌의 통합형 플랫폼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에 비해 경쟁력이 제한적임.</w:t>
      </w:r>
    </w:p>
    <w:p>
      <w:pPr>
        <w:pStyle w:val="a1"/>
        <w:numPr>
          <w:ilvl w:val="0"/>
          <w:numId w:val="23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재무 구조 불안정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매출 성장세에도 불구하고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영업이익률 변동성이 크고 투자 부담이 상당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하여 외부 충격에 취약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3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 투자 시나리오 분석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가정 </w:t>
      </w:r>
    </w:p>
    <w:p>
      <w:pPr>
        <w:pStyle w:val="a1"/>
        <w:numPr>
          <w:ilvl w:val="0"/>
          <w:numId w:val="2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Base Case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넥서스모터스가 현재의 성장 전략을 계획대로 실행하며, 시장 환경이 안정적으로 유지되는 경우.</w:t>
      </w:r>
    </w:p>
    <w:p>
      <w:pPr>
        <w:pStyle w:val="a1"/>
        <w:numPr>
          <w:ilvl w:val="0"/>
          <w:numId w:val="2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Bull Case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딥러닝 기반 자율주행 기술이 예상보다 빠르게 시장에 안착하고, 글로벌 기업과의 전략적 파트너십이 성공적으로 체결되는 경우.</w:t>
      </w:r>
    </w:p>
    <w:p>
      <w:pPr>
        <w:pStyle w:val="a1"/>
        <w:numPr>
          <w:ilvl w:val="0"/>
          <w:numId w:val="24"/>
        </w:numPr>
        <w:rPr>
          <w:lang w:eastAsia="ko-KR"/>
          <w:rFonts w:ascii="함초롬바탕" w:eastAsia="함초롬바탕" w:hAnsi="함초롬바탕" w:cs="함초롬바탕" w:hint="eastAsia"/>
          <w:b w:val="0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Bear Case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경쟁사 네오드라이브의 시장 진입이 가속화되고, 주요 완성차 업체와의 공급 계약이 재계약에 실패하는 경우.</w:t>
      </w:r>
    </w:p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시나리오별 핵심 가정 및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예상 목표 주가</w:t>
      </w:r>
    </w:p>
    <w:tbl>
      <w:tblPr>
        <w:tblStyle w:val="b0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498"/>
        <w:gridCol w:w="2036"/>
        <w:gridCol w:w="2092"/>
        <w:gridCol w:w="2092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gridAfter w:val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구분</w:t>
            </w:r>
          </w:p>
        </w:tc>
        <w:tc>
          <w:tcPr>
            <w:tcW w:w="2036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Base Case</w:t>
            </w:r>
          </w:p>
        </w:tc>
        <w:tc>
          <w:tcPr>
            <w:tcW w:w="2092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Bull Case</w:t>
            </w:r>
          </w:p>
        </w:tc>
        <w:tc>
          <w:tcPr>
            <w:tcW w:w="2092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Bear Case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gridAfter w:val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매출액 성장률</w:t>
            </w:r>
          </w:p>
        </w:tc>
        <w:tc>
          <w:tcPr>
            <w:tcW w:w="2036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연평균 12% 성장</w:t>
            </w:r>
          </w:p>
        </w:tc>
        <w:tc>
          <w:tcPr>
            <w:tcW w:w="2092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연평균 18% 성장</w:t>
            </w:r>
          </w:p>
        </w:tc>
        <w:tc>
          <w:tcPr>
            <w:tcW w:w="2092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연평균 8% 성장</w:t>
            </w:r>
          </w:p>
        </w:tc>
      </w:tr>
      <w:tr>
        <w:trPr>
          <w:gridAfter w:val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영업이익률</w:t>
            </w:r>
          </w:p>
        </w:tc>
        <w:tc>
          <w:tcPr>
            <w:tcW w:w="2036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12%까지 개선</w:t>
            </w:r>
          </w:p>
        </w:tc>
        <w:tc>
          <w:tcPr>
            <w:tcW w:w="2092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15%까지 개선</w:t>
            </w:r>
          </w:p>
        </w:tc>
        <w:tc>
          <w:tcPr>
            <w:tcW w:w="2092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8% 수준 정체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gridAfter w:val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예상 EBITDA(억 원)</w:t>
            </w:r>
          </w:p>
        </w:tc>
        <w:tc>
          <w:tcPr>
            <w:tcW w:w="2036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120</w:t>
            </w:r>
          </w:p>
        </w:tc>
        <w:tc>
          <w:tcPr>
            <w:tcW w:w="2092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180</w:t>
            </w:r>
          </w:p>
        </w:tc>
        <w:tc>
          <w:tcPr>
            <w:tcW w:w="2092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80</w:t>
            </w:r>
          </w:p>
        </w:tc>
      </w:tr>
      <w:tr>
        <w:trPr>
          <w:gridAfter w:val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예상 순이익(억 원)</w:t>
            </w:r>
          </w:p>
        </w:tc>
        <w:tc>
          <w:tcPr>
            <w:tcW w:w="2036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60</w:t>
            </w:r>
          </w:p>
        </w:tc>
        <w:tc>
          <w:tcPr>
            <w:tcW w:w="2092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90</w:t>
            </w:r>
          </w:p>
        </w:tc>
        <w:tc>
          <w:tcPr>
            <w:tcW w:w="2092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  <w:t>30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gridAfter w:val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8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예상 목표 주가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(원)</w:t>
            </w:r>
          </w:p>
        </w:tc>
        <w:tc>
          <w:tcPr>
            <w:tcW w:w="2036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6"/>
                <w:szCs w:val="26"/>
                <w:u w:color="auto"/>
                <w:rtl w:val="off"/>
              </w:rPr>
              <w:t>5000</w:t>
            </w:r>
          </w:p>
        </w:tc>
        <w:tc>
          <w:tcPr>
            <w:tcW w:w="2092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6"/>
                <w:szCs w:val="26"/>
                <w:u w:color="auto"/>
                <w:rtl w:val="off"/>
              </w:rPr>
              <w:t>8000</w:t>
            </w:r>
          </w:p>
        </w:tc>
        <w:tc>
          <w:tcPr>
            <w:tcW w:w="2092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6"/>
                <w:szCs w:val="26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6"/>
                <w:szCs w:val="26"/>
                <w:u w:color="auto"/>
                <w:rtl w:val="off"/>
              </w:rPr>
              <w:t>3000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</w:p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시나리오별 상세 분석</w:t>
      </w:r>
    </w:p>
    <w:p>
      <w:pPr>
        <w:pStyle w:val="a1"/>
        <w:numPr>
          <w:ilvl w:val="0"/>
          <w:numId w:val="25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Base Case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넥서스모터스는 안정적인 성장 전략을 기반으로 매출과 이익이 꾸준히 확대될 전망. 현재 주가는 내재 가치 대비 다소 저평가되어 있어, 장기적 투자 매력이 존재.</w:t>
      </w:r>
    </w:p>
    <w:p>
      <w:pPr>
        <w:pStyle w:val="a1"/>
        <w:numPr>
          <w:ilvl w:val="0"/>
          <w:numId w:val="25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Bull Case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자율주행 셔틀의 성공적 시장 안착과 해외 파트너십 성과로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90억 원 수준의 순이익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이 가능. 이 경우 목표 주가는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12,000원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까지 상승할 여력이 있음.</w:t>
      </w:r>
    </w:p>
    <w:p>
      <w:pPr>
        <w:pStyle w:val="a1"/>
        <w:numPr>
          <w:ilvl w:val="0"/>
          <w:numId w:val="25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Bear Case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주요 계약 불발 및 경쟁사 점유율 확대에 따라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30억 원 수준의 순이익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만을 기록할 가능성이 존재. 이 경우 목표 주가는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5,000원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수준으로 하락할 수 있음.</w:t>
      </w:r>
    </w:p>
    <w:p>
      <w:pPr>
        <w:ind w:leftChars="0" w:left="400"/>
        <w:rPr>
          <w:lang/>
          <w:rFonts w:ascii="함초롬바탕" w:eastAsia="함초롬바탕" w:hAnsi="함초롬바탕" w:cs="함초롬바탕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4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 결론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넥서스모터스는 자율주행 기술을 기반으로 일정 수준의 매출과 영업이익을 확보하고 있으나,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경쟁사 대비 기술력 열위, 과도한 투자 비용, 주요 고객사 의존도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등으로 인해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중장기적인 성장 가능성은 제한적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이다.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특히 최근 시장 진입 속도를 높이고 있는 경쟁사들이 더 강력한 자본력과 기술 네트워크를 보유하고 있어,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넥서스모터스가 의미 있는 시장 지위를 확보하기는 쉽지 않을 것으로 판단된다.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현재 밸류에이션은 낮아 보일 수 있으나 이는 기업의 내재가치보다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리스크 요인이 크게 반영된 결과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로,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추가적인 재평가 가능성은 제한적이다.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따라서 본 보고서는 넥서스모터스에 대한 투자 권고를 비추천으로 제시한다.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이는 단기적인 수익성 개선 가능성보다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시장 경쟁 심화와 구조적 한계에 따른 위험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이 더 크다고 보기 때문이다.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Ⅴ</w:t>
            </w:r>
            <w:r>
              <w:rPr>
                <w:rFonts w:ascii="HY견명조"/>
                <w:b/>
                <w:color w:val="FFFFFF"/>
                <w:sz w:val="42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>부록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 재무제표 요약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아래 재무제표는 넥서스모터스의 최근 3년간의 주요 재무 상태를 요약한 것이다.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  <w:t>손익계산서</w:t>
      </w:r>
    </w:p>
    <w:tbl>
      <w:tblPr>
        <w:tblStyle w:val="b0"/>
        <w:tblLook w:val="04A0" w:firstRow="1" w:lastRow="0" w:firstColumn="1" w:lastColumn="0" w:noHBand="0" w:noVBand="1"/>
        <w:tblLayout w:type="autofit"/>
      </w:tblPr>
      <w:tblGrid>
        <w:gridCol w:w="2214"/>
        <w:gridCol w:w="2214"/>
        <w:gridCol w:w="2214"/>
        <w:gridCol w:w="221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구분</w:t>
            </w:r>
          </w:p>
        </w:tc>
        <w:tc>
          <w:tcPr>
            <w:tcW w:w="221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2022년</w:t>
            </w:r>
          </w:p>
        </w:tc>
        <w:tc>
          <w:tcPr>
            <w:tcW w:w="221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2023년</w:t>
            </w:r>
          </w:p>
        </w:tc>
        <w:tc>
          <w:tcPr>
            <w:tcW w:w="221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2024년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매출액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(억 원)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80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120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160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영업이익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(억 원)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5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8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12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순이익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(억 원)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3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4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  <w:t>재무상태표</w:t>
      </w:r>
    </w:p>
    <w:tbl>
      <w:tblPr>
        <w:tblStyle w:val="b0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125"/>
        <w:gridCol w:w="2125"/>
        <w:gridCol w:w="2125"/>
        <w:gridCol w:w="212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5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구분</w:t>
            </w:r>
          </w:p>
        </w:tc>
        <w:tc>
          <w:tcPr>
            <w:tcW w:w="2125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2022년</w:t>
            </w:r>
          </w:p>
        </w:tc>
        <w:tc>
          <w:tcPr>
            <w:tcW w:w="2125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2023년</w:t>
            </w:r>
          </w:p>
        </w:tc>
        <w:tc>
          <w:tcPr>
            <w:tcW w:w="2125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2024년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5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자산총계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(억 원)</w:t>
            </w:r>
          </w:p>
        </w:tc>
        <w:tc>
          <w:tcPr>
            <w:tcW w:w="2125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300</w:t>
            </w:r>
          </w:p>
        </w:tc>
        <w:tc>
          <w:tcPr>
            <w:tcW w:w="2125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350</w:t>
            </w:r>
          </w:p>
        </w:tc>
        <w:tc>
          <w:tcPr>
            <w:tcW w:w="2125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400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5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부채총계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(억 원)</w:t>
            </w:r>
          </w:p>
        </w:tc>
        <w:tc>
          <w:tcPr>
            <w:tcW w:w="2125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100</w:t>
            </w:r>
          </w:p>
        </w:tc>
        <w:tc>
          <w:tcPr>
            <w:tcW w:w="2125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120</w:t>
            </w:r>
          </w:p>
        </w:tc>
        <w:tc>
          <w:tcPr>
            <w:tcW w:w="2125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150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5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자본총계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(억 원)</w:t>
            </w:r>
          </w:p>
        </w:tc>
        <w:tc>
          <w:tcPr>
            <w:tcW w:w="2125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200</w:t>
            </w:r>
          </w:p>
        </w:tc>
        <w:tc>
          <w:tcPr>
            <w:tcW w:w="2125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230</w:t>
            </w:r>
          </w:p>
        </w:tc>
        <w:tc>
          <w:tcPr>
            <w:tcW w:w="2125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250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 참고 자료 및 데이터 출처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본 보고서 작성에 활용된 주요 자료 및 데이터 출처는 아래와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같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다.</w:t>
      </w:r>
    </w:p>
    <w:p>
      <w:pPr>
        <w:pStyle w:val="a1"/>
        <w:numPr>
          <w:ilvl w:val="0"/>
          <w:numId w:val="26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넥서스모터스 내부 경영자료 및 공시 자료(비공개)</w:t>
      </w:r>
    </w:p>
    <w:p>
      <w:pPr>
        <w:pStyle w:val="a1"/>
        <w:numPr>
          <w:ilvl w:val="0"/>
          <w:numId w:val="26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한국산업연구원의 자율주행 관련 산업 보고서</w:t>
      </w:r>
    </w:p>
    <w:p>
      <w:pPr>
        <w:pStyle w:val="a1"/>
        <w:numPr>
          <w:ilvl w:val="0"/>
          <w:numId w:val="26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한국금융정보원 제공 스타트업 재무 데이터</w:t>
      </w:r>
    </w:p>
    <w:p>
      <w:pPr>
        <w:pStyle w:val="a1"/>
        <w:numPr>
          <w:ilvl w:val="0"/>
          <w:numId w:val="26"/>
        </w:num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자율주행 및 모빌리티 관련 학술 논문 및 시장 뉴스</w:t>
      </w:r>
    </w:p>
    <w:sectPr>
      <w:pgSz w:w="11906" w:h="16838"/>
      <w:pgMar w:top="1985" w:right="1701" w:bottom="1701" w:left="1701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함초롬바탕">
    <w:panose1 w:val="02030604000101010101"/>
    <w:family w:val="HCR Batang"/>
    <w:charset w:val="00"/>
    <w:notTrueType w:val="false"/>
    <w:sig w:usb0="7FFFFFFF" w:usb1="19DFFFFF" w:usb2="001BFDD7" w:usb3="00000001" w:csb0="001F01FF" w:csb1="00000001"/>
  </w:font>
  <w:font w:name="HY견명조">
    <w:panose1 w:val="02030600000101010101"/>
    <w:family w:val="HYMyeongJo-Extra"/>
    <w:charset w:val="00"/>
    <w:notTrueType w:val="false"/>
    <w:sig w:usb0="7FFFFFFF" w:usb1="29D77CF9" w:usb2="00000010" w:usb3="00000001" w:csb0="00080000" w:csb1="00000001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7FFFFFF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b60"/>
    <w:multiLevelType w:val="hybridMultilevel"/>
    <w:lvl w:ilvl="0" w:tplc="4090013">
      <w:start w:val="1"/>
      <w:numFmt w:val="upperRoman"/>
      <w:lvlText w:val="%1."/>
      <w:lvlJc w:val="left"/>
      <w:pPr>
        <w:ind w:left="8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200" w:right="0" w:hanging="400"/>
      </w:pPr>
      <w:rPr/>
    </w:lvl>
    <w:lvl w:ilvl="2" w:tplc="409001b">
      <w:start w:val="1"/>
      <w:numFmt w:val="lowerRoman"/>
      <w:lvlText w:val="%3."/>
      <w:lvlJc w:val="left"/>
      <w:pPr>
        <w:ind w:left="1600" w:right="0" w:hanging="400"/>
      </w:pPr>
      <w:rPr/>
    </w:lvl>
    <w:lvl w:ilvl="3" w:tplc="409000f">
      <w:start w:val="1"/>
      <w:lvlText w:val="%4."/>
      <w:lvlJc w:val="left"/>
      <w:pPr>
        <w:ind w:left="20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400" w:right="0" w:hanging="400"/>
      </w:pPr>
      <w:rPr/>
    </w:lvl>
    <w:lvl w:ilvl="5" w:tplc="409001b">
      <w:start w:val="1"/>
      <w:numFmt w:val="lowerRoman"/>
      <w:lvlText w:val="%6."/>
      <w:lvlJc w:val="left"/>
      <w:pPr>
        <w:ind w:left="2800" w:right="0" w:hanging="400"/>
      </w:pPr>
      <w:rPr/>
    </w:lvl>
    <w:lvl w:ilvl="6" w:tplc="409000f">
      <w:start w:val="1"/>
      <w:lvlText w:val="%7."/>
      <w:lvlJc w:val="left"/>
      <w:pPr>
        <w:ind w:left="32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36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000" w:right="0" w:hanging="400"/>
      </w:pPr>
      <w:rPr/>
    </w:lvl>
  </w:abstractNum>
  <w:abstractNum w:abstractNumId="1">
    <w:nsid w:val="fffeff40"/>
    <w:multiLevelType w:val="hybridMultilevel"/>
    <w:lvl w:ilvl="0" w:tplc="409000f">
      <w:start w:val="1"/>
      <w:lvlText w:val="%1."/>
      <w:lvlJc w:val="left"/>
      <w:pPr>
        <w:ind w:left="112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520" w:right="0" w:hanging="400"/>
      </w:pPr>
      <w:rPr/>
    </w:lvl>
    <w:lvl w:ilvl="2" w:tplc="409001b">
      <w:start w:val="1"/>
      <w:numFmt w:val="lowerRoman"/>
      <w:lvlText w:val="%3."/>
      <w:lvlJc w:val="left"/>
      <w:pPr>
        <w:ind w:left="1920" w:right="0" w:hanging="400"/>
      </w:pPr>
      <w:rPr/>
    </w:lvl>
    <w:lvl w:ilvl="3" w:tplc="409000f">
      <w:start w:val="1"/>
      <w:lvlText w:val="%4."/>
      <w:lvlJc w:val="left"/>
      <w:pPr>
        <w:ind w:left="232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720" w:right="0" w:hanging="400"/>
      </w:pPr>
      <w:rPr/>
    </w:lvl>
    <w:lvl w:ilvl="5" w:tplc="409001b">
      <w:start w:val="1"/>
      <w:numFmt w:val="lowerRoman"/>
      <w:lvlText w:val="%6."/>
      <w:lvlJc w:val="left"/>
      <w:pPr>
        <w:ind w:left="3120" w:right="0" w:hanging="400"/>
      </w:pPr>
      <w:rPr/>
    </w:lvl>
    <w:lvl w:ilvl="6" w:tplc="409000f">
      <w:start w:val="1"/>
      <w:lvlText w:val="%7."/>
      <w:lvlJc w:val="left"/>
      <w:pPr>
        <w:ind w:left="352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3920" w:right="0" w:hanging="400"/>
      </w:pPr>
      <w:rPr/>
    </w:lvl>
    <w:lvl w:ilvl="8" w:tplc="409001b">
      <w:start w:val="1"/>
      <w:numFmt w:val="lowerRoman"/>
      <w:lvlText w:val="%9."/>
      <w:lvlJc w:val="left"/>
      <w:pPr>
        <w:ind w:left="4320" w:right="0" w:hanging="400"/>
      </w:pPr>
      <w:rPr/>
    </w:lvl>
  </w:abstractNum>
  <w:abstractNum w:abstractNumId="2">
    <w:nsid w:val="7bffff90"/>
    <w:multiLevelType w:val="hybridMultilevel"/>
    <w:lvl w:ilvl="0" w:tplc="409000f">
      <w:start w:val="1"/>
      <w:lvlText w:val="%1."/>
      <w:lvlJc w:val="left"/>
      <w:pPr>
        <w:ind w:left="12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600" w:right="0" w:hanging="400"/>
      </w:pPr>
      <w:rPr/>
    </w:lvl>
    <w:lvl w:ilvl="2" w:tplc="409001b">
      <w:start w:val="1"/>
      <w:numFmt w:val="lowerRoman"/>
      <w:lvlText w:val="%3."/>
      <w:lvlJc w:val="left"/>
      <w:pPr>
        <w:ind w:left="2000" w:right="0" w:hanging="400"/>
      </w:pPr>
      <w:rPr/>
    </w:lvl>
    <w:lvl w:ilvl="3" w:tplc="409000f">
      <w:start w:val="1"/>
      <w:lvlText w:val="%4."/>
      <w:lvlJc w:val="left"/>
      <w:pPr>
        <w:ind w:left="24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800" w:right="0" w:hanging="400"/>
      </w:pPr>
      <w:rPr/>
    </w:lvl>
    <w:lvl w:ilvl="5" w:tplc="409001b">
      <w:start w:val="1"/>
      <w:numFmt w:val="lowerRoman"/>
      <w:lvlText w:val="%6."/>
      <w:lvlJc w:val="left"/>
      <w:pPr>
        <w:ind w:left="3200" w:right="0" w:hanging="400"/>
      </w:pPr>
      <w:rPr/>
    </w:lvl>
    <w:lvl w:ilvl="6" w:tplc="409000f">
      <w:start w:val="1"/>
      <w:lvlText w:val="%7."/>
      <w:lvlJc w:val="left"/>
      <w:pPr>
        <w:ind w:left="36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40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400" w:right="0" w:hanging="400"/>
      </w:pPr>
      <w:rPr/>
    </w:lvl>
  </w:abstractNum>
  <w:abstractNum w:abstractNumId="3">
    <w:nsid w:val="ffffff40"/>
    <w:multiLevelType w:val="hybridMultilevel"/>
    <w:lvl w:ilvl="0" w:tplc="409000f">
      <w:start w:val="1"/>
      <w:lvlText w:val="%1."/>
      <w:lvlJc w:val="left"/>
      <w:pPr>
        <w:ind w:left="112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520" w:right="0" w:hanging="400"/>
      </w:pPr>
      <w:rPr/>
    </w:lvl>
    <w:lvl w:ilvl="2" w:tplc="409001b">
      <w:start w:val="1"/>
      <w:numFmt w:val="lowerRoman"/>
      <w:lvlText w:val="%3."/>
      <w:lvlJc w:val="left"/>
      <w:pPr>
        <w:ind w:left="1920" w:right="0" w:hanging="400"/>
      </w:pPr>
      <w:rPr/>
    </w:lvl>
    <w:lvl w:ilvl="3" w:tplc="409000f">
      <w:start w:val="1"/>
      <w:lvlText w:val="%4."/>
      <w:lvlJc w:val="left"/>
      <w:pPr>
        <w:ind w:left="232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720" w:right="0" w:hanging="400"/>
      </w:pPr>
      <w:rPr/>
    </w:lvl>
    <w:lvl w:ilvl="5" w:tplc="409001b">
      <w:start w:val="1"/>
      <w:numFmt w:val="lowerRoman"/>
      <w:lvlText w:val="%6."/>
      <w:lvlJc w:val="left"/>
      <w:pPr>
        <w:ind w:left="3120" w:right="0" w:hanging="400"/>
      </w:pPr>
      <w:rPr/>
    </w:lvl>
    <w:lvl w:ilvl="6" w:tplc="409000f">
      <w:start w:val="1"/>
      <w:lvlText w:val="%7."/>
      <w:lvlJc w:val="left"/>
      <w:pPr>
        <w:ind w:left="352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3920" w:right="0" w:hanging="400"/>
      </w:pPr>
      <w:rPr/>
    </w:lvl>
    <w:lvl w:ilvl="8" w:tplc="409001b">
      <w:start w:val="1"/>
      <w:numFmt w:val="lowerRoman"/>
      <w:lvlText w:val="%9."/>
      <w:lvlJc w:val="left"/>
      <w:pPr>
        <w:ind w:left="4320" w:right="0" w:hanging="400"/>
      </w:pPr>
      <w:rPr/>
    </w:lvl>
  </w:abstractNum>
  <w:abstractNum w:abstractNumId="4">
    <w:nsid w:val="bf7dfc50"/>
    <w:multiLevelType w:val="hybridMultilevel"/>
    <w:lvl w:ilvl="0" w:tplc="409000f">
      <w:start w:val="1"/>
      <w:lvlText w:val="%1."/>
      <w:lvlJc w:val="left"/>
      <w:pPr>
        <w:ind w:left="12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600" w:right="0" w:hanging="400"/>
      </w:pPr>
      <w:rPr/>
    </w:lvl>
    <w:lvl w:ilvl="2" w:tplc="409001b">
      <w:start w:val="1"/>
      <w:numFmt w:val="lowerRoman"/>
      <w:lvlText w:val="%3."/>
      <w:lvlJc w:val="left"/>
      <w:pPr>
        <w:ind w:left="2000" w:right="0" w:hanging="400"/>
      </w:pPr>
      <w:rPr/>
    </w:lvl>
    <w:lvl w:ilvl="3" w:tplc="409000f">
      <w:start w:val="1"/>
      <w:lvlText w:val="%4."/>
      <w:lvlJc w:val="left"/>
      <w:pPr>
        <w:ind w:left="24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800" w:right="0" w:hanging="400"/>
      </w:pPr>
      <w:rPr/>
    </w:lvl>
    <w:lvl w:ilvl="5" w:tplc="409001b">
      <w:start w:val="1"/>
      <w:numFmt w:val="lowerRoman"/>
      <w:lvlText w:val="%6."/>
      <w:lvlJc w:val="left"/>
      <w:pPr>
        <w:ind w:left="3200" w:right="0" w:hanging="400"/>
      </w:pPr>
      <w:rPr/>
    </w:lvl>
    <w:lvl w:ilvl="6" w:tplc="409000f">
      <w:start w:val="1"/>
      <w:lvlText w:val="%7."/>
      <w:lvlJc w:val="left"/>
      <w:pPr>
        <w:ind w:left="36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40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400" w:right="0" w:hanging="400"/>
      </w:pPr>
      <w:rPr/>
    </w:lvl>
  </w:abstractNum>
  <w:abstractNum w:abstractNumId="5">
    <w:nsid w:val="ffffef60"/>
    <w:multiLevelType w:val="hybridMultilevel"/>
    <w:lvl w:ilvl="0" w:tplc="409000f">
      <w:start w:val="1"/>
      <w:lvlText w:val="%1."/>
      <w:lvlJc w:val="left"/>
      <w:pPr>
        <w:ind w:left="12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600" w:right="0" w:hanging="400"/>
      </w:pPr>
      <w:rPr/>
    </w:lvl>
    <w:lvl w:ilvl="2" w:tplc="409001b">
      <w:start w:val="1"/>
      <w:numFmt w:val="lowerRoman"/>
      <w:lvlText w:val="%3."/>
      <w:lvlJc w:val="left"/>
      <w:pPr>
        <w:ind w:left="2000" w:right="0" w:hanging="400"/>
      </w:pPr>
      <w:rPr/>
    </w:lvl>
    <w:lvl w:ilvl="3" w:tplc="409000f">
      <w:start w:val="1"/>
      <w:lvlText w:val="%4."/>
      <w:lvlJc w:val="left"/>
      <w:pPr>
        <w:ind w:left="24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800" w:right="0" w:hanging="400"/>
      </w:pPr>
      <w:rPr/>
    </w:lvl>
    <w:lvl w:ilvl="5" w:tplc="409001b">
      <w:start w:val="1"/>
      <w:numFmt w:val="lowerRoman"/>
      <w:lvlText w:val="%6."/>
      <w:lvlJc w:val="left"/>
      <w:pPr>
        <w:ind w:left="3200" w:right="0" w:hanging="400"/>
      </w:pPr>
      <w:rPr/>
    </w:lvl>
    <w:lvl w:ilvl="6" w:tplc="409000f">
      <w:start w:val="1"/>
      <w:lvlText w:val="%7."/>
      <w:lvlJc w:val="left"/>
      <w:pPr>
        <w:ind w:left="36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40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400" w:right="0" w:hanging="400"/>
      </w:pPr>
      <w:rPr/>
    </w:lvl>
  </w:abstractNum>
  <w:abstractNum w:abstractNumId="6">
    <w:nsid w:val="e7effe90"/>
    <w:multiLevelType w:val="hybridMultilevel"/>
    <w:lvl w:ilvl="0" w:tplc="409000f">
      <w:start w:val="1"/>
      <w:lvlText w:val="%1."/>
      <w:lvlJc w:val="left"/>
      <w:pPr>
        <w:ind w:left="12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600" w:right="0" w:hanging="400"/>
      </w:pPr>
      <w:rPr/>
    </w:lvl>
    <w:lvl w:ilvl="2" w:tplc="409001b">
      <w:start w:val="1"/>
      <w:numFmt w:val="lowerRoman"/>
      <w:lvlText w:val="%3."/>
      <w:lvlJc w:val="left"/>
      <w:pPr>
        <w:ind w:left="2000" w:right="0" w:hanging="400"/>
      </w:pPr>
      <w:rPr/>
    </w:lvl>
    <w:lvl w:ilvl="3" w:tplc="409000f">
      <w:start w:val="1"/>
      <w:lvlText w:val="%4."/>
      <w:lvlJc w:val="left"/>
      <w:pPr>
        <w:ind w:left="24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800" w:right="0" w:hanging="400"/>
      </w:pPr>
      <w:rPr/>
    </w:lvl>
    <w:lvl w:ilvl="5" w:tplc="409001b">
      <w:start w:val="1"/>
      <w:numFmt w:val="lowerRoman"/>
      <w:lvlText w:val="%6."/>
      <w:lvlJc w:val="left"/>
      <w:pPr>
        <w:ind w:left="3200" w:right="0" w:hanging="400"/>
      </w:pPr>
      <w:rPr/>
    </w:lvl>
    <w:lvl w:ilvl="6" w:tplc="409000f">
      <w:start w:val="1"/>
      <w:lvlText w:val="%7."/>
      <w:lvlJc w:val="left"/>
      <w:pPr>
        <w:ind w:left="36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40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400" w:right="0" w:hanging="400"/>
      </w:pPr>
      <w:rPr/>
    </w:lvl>
  </w:abstractNum>
  <w:abstractNum w:abstractNumId="7">
    <w:nsid w:val="fff7dfe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8">
    <w:nsid w:val="fffff7f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>
    <w:nsid w:val="fffdffb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77ffff0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>
    <w:nsid w:val="f7fff58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>
    <w:nsid w:val="ffff7f1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>
    <w:nsid w:val="efff7ec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>
    <w:nsid w:val="fbffff9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>
    <w:nsid w:val="feffdfd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>
    <w:nsid w:val="ffffdd8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>
    <w:nsid w:val="e7bbff3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>
    <w:nsid w:val="effff39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>
    <w:nsid w:val="ffedff6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>
    <w:nsid w:val="efffff1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>
    <w:nsid w:val="fffffb0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>
    <w:nsid w:val="ffffffd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>
    <w:nsid w:val="f7efe65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>
    <w:nsid w:val="fbffff9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>
    <w:nsid w:val="fff77eb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EastAsia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-1953515063" w:unhideWhenUsed="1"/>
    <w:lsdException w:name="toc 2" w:semiHidden="1" w:uiPriority="-1953515063" w:unhideWhenUsed="1"/>
    <w:lsdException w:name="toc 3" w:semiHidden="1" w:uiPriority="-1953515063" w:unhideWhenUsed="1"/>
    <w:lsdException w:name="toc 4" w:semiHidden="1" w:uiPriority="-1953515063" w:unhideWhenUsed="1"/>
    <w:lsdException w:name="toc 5" w:semiHidden="1" w:uiPriority="-1953515063" w:unhideWhenUsed="1"/>
    <w:lsdException w:name="toc 6" w:semiHidden="1" w:uiPriority="-1953515063" w:unhideWhenUsed="1"/>
    <w:lsdException w:name="toc 7" w:semiHidden="1" w:uiPriority="-1953515063" w:unhideWhenUsed="1"/>
    <w:lsdException w:name="toc 8" w:semiHidden="1" w:uiPriority="-1953515063" w:unhideWhenUsed="1"/>
    <w:lsdException w:name="toc 9" w:semiHidden="1" w:uiPriority="-1953515063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-195395612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4159526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4159526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-1774770120" w:qFormat="1"/>
    <w:lsdException w:name="Emphasis" w:uiPriority="-181079410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-1953515063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896248436"/>
    <w:lsdException w:name="Light List" w:uiPriority="1896248437"/>
    <w:lsdException w:name="Light Grid" w:uiPriority="1896255878"/>
    <w:lsdException w:name="Medium Shading 1" w:uiPriority="1896255879"/>
    <w:lsdException w:name="Medium Shading 2" w:uiPriority="-947000374"/>
    <w:lsdException w:name="Medium List 1" w:uiPriority="-947000373"/>
    <w:lsdException w:name="Medium List 2" w:uiPriority="862459192"/>
    <w:lsdException w:name="Medium Grid 1" w:uiPriority="862459193"/>
    <w:lsdException w:name="Medium Grid 2" w:uiPriority="1144600416"/>
    <w:lsdException w:name="Medium Grid 3" w:uiPriority="1144600417"/>
    <w:lsdException w:name="Dark List" w:uiPriority="1667586416"/>
    <w:lsdException w:name="Colorful Shading" w:uiPriority="1667586417"/>
    <w:lsdException w:name="Colorful List" w:uiPriority="623261460"/>
    <w:lsdException w:name="Colorful Grid" w:uiPriority="623261461"/>
    <w:lsdException w:name="Light Shading Accent 1" w:uiPriority="1896248436"/>
    <w:lsdException w:name="Light List Accent 1" w:uiPriority="1896248437"/>
    <w:lsdException w:name="Light Grid Accent 1" w:uiPriority="1896255878"/>
    <w:lsdException w:name="Medium Shading 1 Accent 1" w:uiPriority="1896255879"/>
    <w:lsdException w:name="Medium Shading 2 Accent 1" w:uiPriority="-947000374"/>
    <w:lsdException w:name="Medium List 1 Accent 1" w:uiPriority="-947000373"/>
    <w:lsdException w:name="Revision" w:semiHidden="1"/>
    <w:lsdException w:name="List Paragraph" w:uiPriority="-1953956128" w:qFormat="1"/>
    <w:lsdException w:name="Quote" w:uiPriority="692675665" w:qFormat="1"/>
    <w:lsdException w:name="Intense Quote" w:uiPriority="843122962" w:qFormat="1"/>
    <w:lsdException w:name="Medium List 2 Accent 1" w:uiPriority="862459192"/>
    <w:lsdException w:name="Medium Grid 1 Accent 1" w:uiPriority="862459193"/>
    <w:lsdException w:name="Medium Grid 2 Accent 1" w:uiPriority="1144600416"/>
    <w:lsdException w:name="Medium Grid 3 Accent 1" w:uiPriority="1144600417"/>
    <w:lsdException w:name="Dark List Accent 1" w:uiPriority="1667586416"/>
    <w:lsdException w:name="Colorful Shading Accent 1" w:uiPriority="1667586417"/>
    <w:lsdException w:name="Colorful List Accent 1" w:uiPriority="623261460"/>
    <w:lsdException w:name="Colorful Grid Accent 1" w:uiPriority="623261461"/>
    <w:lsdException w:name="Light Shading Accent 2" w:uiPriority="1896248436"/>
    <w:lsdException w:name="Light List Accent 2" w:uiPriority="1896248437"/>
    <w:lsdException w:name="Light Grid Accent 2" w:uiPriority="1896255878"/>
    <w:lsdException w:name="Medium Shading 1 Accent 2" w:uiPriority="1896255879"/>
    <w:lsdException w:name="Medium Shading 2 Accent 2" w:uiPriority="-947000374"/>
    <w:lsdException w:name="Medium List 1 Accent 2" w:uiPriority="-947000373"/>
    <w:lsdException w:name="Medium List 2 Accent 2" w:uiPriority="862459192"/>
    <w:lsdException w:name="Medium Grid 1 Accent 2" w:uiPriority="862459193"/>
    <w:lsdException w:name="Medium Grid 2 Accent 2" w:uiPriority="1144600416"/>
    <w:lsdException w:name="Medium Grid 3 Accent 2" w:uiPriority="1144600417"/>
    <w:lsdException w:name="Dark List Accent 2" w:uiPriority="1667586416"/>
    <w:lsdException w:name="Colorful Shading Accent 2" w:uiPriority="1667586417"/>
    <w:lsdException w:name="Colorful List Accent 2" w:uiPriority="623261460"/>
    <w:lsdException w:name="Colorful Grid Accent 2" w:uiPriority="623261461"/>
    <w:lsdException w:name="Light Shading Accent 3" w:uiPriority="1896248436"/>
    <w:lsdException w:name="Light List Accent 3" w:uiPriority="1896248437"/>
    <w:lsdException w:name="Light Grid Accent 3" w:uiPriority="1896255878"/>
    <w:lsdException w:name="Medium Shading 1 Accent 3" w:uiPriority="1896255879"/>
    <w:lsdException w:name="Medium Shading 2 Accent 3" w:uiPriority="-947000374"/>
    <w:lsdException w:name="Medium List 1 Accent 3" w:uiPriority="-947000373"/>
    <w:lsdException w:name="Medium List 2 Accent 3" w:uiPriority="862459192"/>
    <w:lsdException w:name="Medium Grid 1 Accent 3" w:uiPriority="862459193"/>
    <w:lsdException w:name="Medium Grid 2 Accent 3" w:uiPriority="1144600416"/>
    <w:lsdException w:name="Medium Grid 3 Accent 3" w:uiPriority="1144600417"/>
    <w:lsdException w:name="Dark List Accent 3" w:uiPriority="1667586416"/>
    <w:lsdException w:name="Colorful Shading Accent 3" w:uiPriority="1667586417"/>
    <w:lsdException w:name="Colorful List Accent 3" w:uiPriority="623261460"/>
    <w:lsdException w:name="Colorful Grid Accent 3" w:uiPriority="623261461"/>
    <w:lsdException w:name="Light Shading Accent 4" w:uiPriority="1896248436"/>
    <w:lsdException w:name="Light List Accent 4" w:uiPriority="1896248437"/>
    <w:lsdException w:name="Light Grid Accent 4" w:uiPriority="1896255878"/>
    <w:lsdException w:name="Medium Shading 1 Accent 4" w:uiPriority="1896255879"/>
    <w:lsdException w:name="Medium Shading 2 Accent 4" w:uiPriority="-947000374"/>
    <w:lsdException w:name="Medium List 1 Accent 4" w:uiPriority="-947000373"/>
    <w:lsdException w:name="Medium List 2 Accent 4" w:uiPriority="862459192"/>
    <w:lsdException w:name="Medium Grid 1 Accent 4" w:uiPriority="862459193"/>
    <w:lsdException w:name="Medium Grid 2 Accent 4" w:uiPriority="1144600416"/>
    <w:lsdException w:name="Medium Grid 3 Accent 4" w:uiPriority="1144600417"/>
    <w:lsdException w:name="Dark List Accent 4" w:uiPriority="1667586416"/>
    <w:lsdException w:name="Colorful Shading Accent 4" w:uiPriority="1667586417"/>
    <w:lsdException w:name="Colorful List Accent 4" w:uiPriority="623261460"/>
    <w:lsdException w:name="Colorful Grid Accent 4" w:uiPriority="623261461"/>
    <w:lsdException w:name="Light Shading Accent 5" w:uiPriority="1896248436"/>
    <w:lsdException w:name="Light List Accent 5" w:uiPriority="1896248437"/>
    <w:lsdException w:name="Light Grid Accent 5" w:uiPriority="1896255878"/>
    <w:lsdException w:name="Medium Shading 1 Accent 5" w:uiPriority="1896255879"/>
    <w:lsdException w:name="Medium Shading 2 Accent 5" w:uiPriority="-947000374"/>
    <w:lsdException w:name="Medium List 1 Accent 5" w:uiPriority="-947000373"/>
    <w:lsdException w:name="Medium List 2 Accent 5" w:uiPriority="862459192"/>
    <w:lsdException w:name="Medium Grid 1 Accent 5" w:uiPriority="862459193"/>
    <w:lsdException w:name="Medium Grid 2 Accent 5" w:uiPriority="1144600416"/>
    <w:lsdException w:name="Medium Grid 3 Accent 5" w:uiPriority="1144600417"/>
    <w:lsdException w:name="Dark List Accent 5" w:uiPriority="1667586416"/>
    <w:lsdException w:name="Colorful Shading Accent 5" w:uiPriority="1667586417"/>
    <w:lsdException w:name="Colorful List Accent 5" w:uiPriority="623261460"/>
    <w:lsdException w:name="Colorful Grid Accent 5" w:uiPriority="623261461"/>
    <w:lsdException w:name="Light Shading Accent 6" w:uiPriority="1896248436"/>
    <w:lsdException w:name="Light List Accent 6" w:uiPriority="1896248437"/>
    <w:lsdException w:name="Light Grid Accent 6" w:uiPriority="1896255878"/>
    <w:lsdException w:name="Medium Shading 1 Accent 6" w:uiPriority="1896255879"/>
    <w:lsdException w:name="Medium Shading 2 Accent 6" w:uiPriority="-947000374"/>
    <w:lsdException w:name="Medium List 1 Accent 6" w:uiPriority="-947000373"/>
    <w:lsdException w:name="Medium List 2 Accent 6" w:uiPriority="862459192"/>
    <w:lsdException w:name="Medium Grid 1 Accent 6" w:uiPriority="862459193"/>
    <w:lsdException w:name="Medium Grid 2 Accent 6" w:uiPriority="1144600416"/>
    <w:lsdException w:name="Medium Grid 3 Accent 6" w:uiPriority="1144600417"/>
    <w:lsdException w:name="Dark List Accent 6" w:uiPriority="1667586416"/>
    <w:lsdException w:name="Colorful Shading Accent 6" w:uiPriority="1667586417"/>
    <w:lsdException w:name="Colorful List Accent 6" w:uiPriority="623261460"/>
    <w:lsdException w:name="Colorful Grid Accent 6" w:uiPriority="623261461"/>
    <w:lsdException w:name="Subtle Emphasis" w:uiPriority="1096372841" w:qFormat="1"/>
    <w:lsdException w:name="Intense Emphasis" w:uiPriority="-1810794103" w:qFormat="1"/>
    <w:lsdException w:name="Subtle Reference" w:uiPriority="843122963" w:qFormat="1"/>
    <w:lsdException w:name="Intense Reference" w:uiPriority="-276381956" w:qFormat="1"/>
    <w:lsdException w:name="Book Title" w:uiPriority="-276381955" w:qFormat="1"/>
    <w:lsdException w:name="Bibliography" w:semiHidden="1" w:uiPriority="-1953956113" w:unhideWhenUsed="1"/>
    <w:lsdException w:name="TOC Heading" w:semiHidden="1" w:uiPriority="-1953515063" w:unhideWhenUsed="1" w:qFormat="1"/>
    <w:lsdException w:name="Plain Table 1" w:uiPriority="-1838721435"/>
    <w:lsdException w:name="Plain Table 2" w:uiPriority="1633681538"/>
    <w:lsdException w:name="Plain Table 3" w:uiPriority="1633681539"/>
    <w:lsdException w:name="Plain Table 4" w:uiPriority="1644393760"/>
    <w:lsdException w:name="Plain Table 5" w:uiPriority="1644393761"/>
    <w:lsdException w:name="Grid Table Light" w:uiPriority="-1838721436"/>
    <w:lsdException w:name="Grid Table 1 Light" w:uiPriority="1663655970"/>
    <w:lsdException w:name="Grid Table 2" w:uiPriority="1663655971"/>
    <w:lsdException w:name="Grid Table 3" w:uiPriority="1125263714"/>
    <w:lsdException w:name="Grid Table 4" w:uiPriority="1125263715"/>
    <w:lsdException w:name="Grid Table 5 Dark" w:uiPriority="-1983387990"/>
    <w:lsdException w:name="Grid Table 6 Colorful" w:uiPriority="-1983387989"/>
    <w:lsdException w:name="Grid Table 7 Colorful" w:uiPriority="-1402298664"/>
    <w:lsdException w:name="Grid Table 1 Light Accent 1" w:uiPriority="1663655970"/>
    <w:lsdException w:name="Grid Table 2 Accent 1" w:uiPriority="1663655971"/>
    <w:lsdException w:name="Grid Table 3 Accent 1" w:uiPriority="1125263714"/>
    <w:lsdException w:name="Grid Table 4 Accent 1" w:uiPriority="1125263715"/>
    <w:lsdException w:name="Grid Table 5 Dark Accent 1" w:uiPriority="-1983387990"/>
    <w:lsdException w:name="Grid Table 6 Colorful Accent 1" w:uiPriority="-1983387989"/>
    <w:lsdException w:name="Grid Table 7 Colorful Accent 1" w:uiPriority="-1402298664"/>
    <w:lsdException w:name="Grid Table 1 Light Accent 2" w:uiPriority="1663655970"/>
    <w:lsdException w:name="Grid Table 2 Accent 2" w:uiPriority="1663655971"/>
    <w:lsdException w:name="Grid Table 3 Accent 2" w:uiPriority="1125263714"/>
    <w:lsdException w:name="Grid Table 4 Accent 2" w:uiPriority="1125263715"/>
    <w:lsdException w:name="Grid Table 5 Dark Accent 2" w:uiPriority="-1983387990"/>
    <w:lsdException w:name="Grid Table 6 Colorful Accent 2" w:uiPriority="-1983387989"/>
    <w:lsdException w:name="Grid Table 7 Colorful Accent 2" w:uiPriority="-1402298664"/>
    <w:lsdException w:name="Grid Table 1 Light Accent 3" w:uiPriority="1663655970"/>
    <w:lsdException w:name="Grid Table 2 Accent 3" w:uiPriority="1663655971"/>
    <w:lsdException w:name="Grid Table 3 Accent 3" w:uiPriority="1125263714"/>
    <w:lsdException w:name="Grid Table 4 Accent 3" w:uiPriority="1125263715"/>
    <w:lsdException w:name="Grid Table 5 Dark Accent 3" w:uiPriority="-1983387990"/>
    <w:lsdException w:name="Grid Table 6 Colorful Accent 3" w:uiPriority="-1983387989"/>
    <w:lsdException w:name="Grid Table 7 Colorful Accent 3" w:uiPriority="-1402298664"/>
    <w:lsdException w:name="Grid Table 1 Light Accent 4" w:uiPriority="1663655970"/>
    <w:lsdException w:name="Grid Table 2 Accent 4" w:uiPriority="1663655971"/>
    <w:lsdException w:name="Grid Table 3 Accent 4" w:uiPriority="1125263714"/>
    <w:lsdException w:name="Grid Table 4 Accent 4" w:uiPriority="1125263715"/>
    <w:lsdException w:name="Grid Table 5 Dark Accent 4" w:uiPriority="-1983387990"/>
    <w:lsdException w:name="Grid Table 6 Colorful Accent 4" w:uiPriority="-1983387989"/>
    <w:lsdException w:name="Grid Table 7 Colorful Accent 4" w:uiPriority="-1402298664"/>
    <w:lsdException w:name="Grid Table 1 Light Accent 5" w:uiPriority="1663655970"/>
    <w:lsdException w:name="Grid Table 2 Accent 5" w:uiPriority="1663655971"/>
    <w:lsdException w:name="Grid Table 3 Accent 5" w:uiPriority="1125263714"/>
    <w:lsdException w:name="Grid Table 4 Accent 5" w:uiPriority="1125263715"/>
    <w:lsdException w:name="Grid Table 5 Dark Accent 5" w:uiPriority="-1983387990"/>
    <w:lsdException w:name="Grid Table 6 Colorful Accent 5" w:uiPriority="-1983387989"/>
    <w:lsdException w:name="Grid Table 7 Colorful Accent 5" w:uiPriority="-1402298664"/>
    <w:lsdException w:name="Grid Table 1 Light Accent 6" w:uiPriority="1663655970"/>
    <w:lsdException w:name="Grid Table 2 Accent 6" w:uiPriority="1663655971"/>
    <w:lsdException w:name="Grid Table 3 Accent 6" w:uiPriority="1125263714"/>
    <w:lsdException w:name="Grid Table 4 Accent 6" w:uiPriority="1125263715"/>
    <w:lsdException w:name="Grid Table 5 Dark Accent 6" w:uiPriority="-1983387990"/>
    <w:lsdException w:name="Grid Table 6 Colorful Accent 6" w:uiPriority="-1983387989"/>
    <w:lsdException w:name="Grid Table 7 Colorful Accent 6" w:uiPriority="-1402298664"/>
    <w:lsdException w:name="List Table 1 Light" w:uiPriority="1663655970"/>
    <w:lsdException w:name="List Table 2" w:uiPriority="1663655971"/>
    <w:lsdException w:name="List Table 3" w:uiPriority="1125263714"/>
    <w:lsdException w:name="List Table 4" w:uiPriority="1125263715"/>
    <w:lsdException w:name="List Table 5 Dark" w:uiPriority="-1983387990"/>
    <w:lsdException w:name="List Table 6 Colorful" w:uiPriority="-1983387989"/>
    <w:lsdException w:name="List Table 7 Colorful" w:uiPriority="-1402298664"/>
    <w:lsdException w:name="List Table 1 Light Accent 1" w:uiPriority="1663655970"/>
    <w:lsdException w:name="List Table 2 Accent 1" w:uiPriority="1663655971"/>
    <w:lsdException w:name="List Table 3 Accent 1" w:uiPriority="1125263714"/>
    <w:lsdException w:name="List Table 4 Accent 1" w:uiPriority="1125263715"/>
    <w:lsdException w:name="List Table 5 Dark Accent 1" w:uiPriority="-1983387990"/>
    <w:lsdException w:name="List Table 6 Colorful Accent 1" w:uiPriority="-1983387989"/>
    <w:lsdException w:name="List Table 7 Colorful Accent 1" w:uiPriority="-1402298664"/>
    <w:lsdException w:name="List Table 1 Light Accent 2" w:uiPriority="1663655970"/>
    <w:lsdException w:name="List Table 2 Accent 2" w:uiPriority="1663655971"/>
    <w:lsdException w:name="List Table 3 Accent 2" w:uiPriority="1125263714"/>
    <w:lsdException w:name="List Table 4 Accent 2" w:uiPriority="1125263715"/>
    <w:lsdException w:name="List Table 5 Dark Accent 2" w:uiPriority="-1983387990"/>
    <w:lsdException w:name="List Table 6 Colorful Accent 2" w:uiPriority="-1983387989"/>
    <w:lsdException w:name="List Table 7 Colorful Accent 2" w:uiPriority="-1402298664"/>
    <w:lsdException w:name="List Table 1 Light Accent 3" w:uiPriority="1663655970"/>
    <w:lsdException w:name="List Table 2 Accent 3" w:uiPriority="1663655971"/>
    <w:lsdException w:name="List Table 3 Accent 3" w:uiPriority="1125263714"/>
    <w:lsdException w:name="List Table 4 Accent 3" w:uiPriority="1125263715"/>
    <w:lsdException w:name="List Table 5 Dark Accent 3" w:uiPriority="-1983387990"/>
    <w:lsdException w:name="List Table 6 Colorful Accent 3" w:uiPriority="-1983387989"/>
    <w:lsdException w:name="List Table 7 Colorful Accent 3" w:uiPriority="-1402298664"/>
    <w:lsdException w:name="List Table 1 Light Accent 4" w:uiPriority="1663655970"/>
    <w:lsdException w:name="List Table 2 Accent 4" w:uiPriority="1663655971"/>
    <w:lsdException w:name="List Table 3 Accent 4" w:uiPriority="1125263714"/>
    <w:lsdException w:name="List Table 4 Accent 4" w:uiPriority="1125263715"/>
    <w:lsdException w:name="List Table 5 Dark Accent 4" w:uiPriority="-1983387990"/>
    <w:lsdException w:name="List Table 6 Colorful Accent 4" w:uiPriority="-1983387989"/>
    <w:lsdException w:name="List Table 7 Colorful Accent 4" w:uiPriority="-1402298664"/>
    <w:lsdException w:name="List Table 1 Light Accent 5" w:uiPriority="1663655970"/>
    <w:lsdException w:name="List Table 2 Accent 5" w:uiPriority="1663655971"/>
    <w:lsdException w:name="List Table 3 Accent 5" w:uiPriority="1125263714"/>
    <w:lsdException w:name="List Table 4 Accent 5" w:uiPriority="1125263715"/>
    <w:lsdException w:name="List Table 5 Dark Accent 5" w:uiPriority="-1983387990"/>
    <w:lsdException w:name="List Table 6 Colorful Accent 5" w:uiPriority="-1983387989"/>
    <w:lsdException w:name="List Table 7 Colorful Accent 5" w:uiPriority="-1402298664"/>
    <w:lsdException w:name="List Table 1 Light Accent 6" w:uiPriority="1663655970"/>
    <w:lsdException w:name="List Table 2 Accent 6" w:uiPriority="1663655971"/>
    <w:lsdException w:name="List Table 3 Accent 6" w:uiPriority="1125263714"/>
    <w:lsdException w:name="List Table 4 Accent 6" w:uiPriority="1125263715"/>
    <w:lsdException w:name="List Table 5 Dark Accent 6" w:uiPriority="-1983387990"/>
    <w:lsdException w:name="List Table 6 Colorful Accent 6" w:uiPriority="-1983387989"/>
    <w:lsdException w:name="List Table 7 Colorful Accent 6" w:uiPriority="-1402298664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0">
    <w:name w:val="Table Grid"/>
    <w:uiPriority w:val="59"/>
    <w:basedOn w:val="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1">
    <w:name w:val="List Paragraph"/>
    <w:uiPriority w:val="34"/>
    <w:basedOn w:val="a2"/>
    <w:qFormat/>
    <w:pPr>
      <w:ind w:left="720"/>
      <w:contextualSpacing/>
    </w:p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0">
    <w:name w:val="Plain Table 1"/>
    <w:uiPriority w:val="41"/>
    <w:basedOn w:val="a4"/>
    <w:pPr>
      <w:spacing w:after="0" w:line="240" w:lineRule="auto"/>
    </w:pPr>
    <w:tblPr>
      <w:tblBorders>
        <w:top w:val="single" w:sz="4" w:space="0" w:color="BFBFBF" w:themeColor="lt1" w:themeShade="bf"/>
        <w:left w:val="single" w:sz="4" w:space="0" w:color="BFBFBF" w:themeColor="lt1" w:themeShade="bf"/>
        <w:bottom w:val="single" w:sz="4" w:space="0" w:color="BFBFBF" w:themeColor="lt1" w:themeShade="bf"/>
        <w:right w:val="single" w:sz="4" w:space="0" w:color="BFBFBF" w:themeColor="lt1" w:themeShade="bf"/>
        <w:insideH w:val="single" w:sz="4" w:space="0" w:color="BFBFBF" w:themeColor="lt1" w:themeShade="bf"/>
        <w:insideV w:val="single" w:sz="4" w:space="0" w:color="BFBFBF" w:themeColor="lt1" w:themeShade="bf"/>
      </w:tblBorders>
      <w:tblStyleColBandSize w:val="1"/>
      <w:tblStyleRowBandSize w:val="1"/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lt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lt1" w:themeFillShade="f2"/>
      </w:tcPr>
    </w:tblStylePr>
    <w:tblStylePr w:type="band1Horz">
      <w:tblPr/>
      <w:tcPr>
        <w:shd w:val="clear" w:color="auto" w:fill="F2F2F2" w:themeFill="lt1" w:themeFillShade="f2"/>
      </w:tcPr>
    </w:tblStylePr>
  </w:style>
  <w:style w:type="paragraph" w:customStyle="1" w:styleId="b1">
    <w:name w:val="스타일1"/>
    <w:basedOn w:val="a2"/>
    <w:qFormat/>
    <w:rPr>
      <w:rFonts w:ascii="함초롬바탕" w:eastAsia="함초롬바탕" w:hAnsi="함초롬바탕" w:cs="함초롬바탕" w:hint="default"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gkseh</dc:creator>
  <cp:keywords/>
  <dc:description/>
  <cp:lastModifiedBy>gkseh</cp:lastModifiedBy>
  <cp:revision>1</cp:revision>
  <dcterms:modified xsi:type="dcterms:W3CDTF">2025-09-23T15:04:46Z</dcterms:modified>
  <cp:version>1300.0100.01</cp:version>
</cp:coreProperties>
</file>