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</w:pPr>
      <w:bookmarkStart w:id="1" w:name="_top"/>
      <w:bookmarkEnd w:id="1"/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7456" allowOverlap="1" hidden="0">
                <wp:simplePos x="0" y="0"/>
                <wp:positionH relativeFrom="column">
                  <wp:posOffset>14061</wp:posOffset>
                </wp:positionH>
                <wp:positionV relativeFrom="paragraph">
                  <wp:posOffset>889725</wp:posOffset>
                </wp:positionV>
                <wp:extent cx="5460238" cy="97531"/>
                <wp:effectExtent l="0" t="0" r="0" b="0"/>
                <wp:wrapNone/>
                <wp:docPr id="1032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4196" y="2150200"/>
                          <a:ext cx="5460238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2" style="position:absolute;margin-left:1.10717pt;margin-top:70.0571pt;width:429.94pt;height:7.67961pt;mso-position-horizontal-relative:column;mso-position-vertical-relative:line;v-text-anchor:middle;mso-wrap-style:square;z-index:1895816191" o:allowincell="t" filled="t" fillcolor="#087dbc" strokecolor="#395e8a" strokeweight="1pt">
                <v:stroke joinstyle="round"/>
              </v:rect>
            </w:pict>
          </mc:Fallback>
        </mc:AlternateContent>
      </w:r>
      <w:r>
        <w:rPr>
          <w:rFonts w:ascii="함초롬바탕" w:eastAsia="함초롬바탕" w:hAnsi="함초롬바탕" w:cs="함초롬바탕" w:hint="default"/>
          <w:b/>
          <w:sz w:val="44"/>
        </w:rPr>
        <w:br/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lang w:eastAsia="ko-KR"/>
          <w:rFonts w:ascii="함초롬바탕" w:eastAsia="함초롬바탕" w:hAnsi="함초롬바탕" w:cs="함초롬바탕" w:hint="default"/>
          <w:b/>
          <w:sz w:val="44"/>
          <w:rtl w:val="off"/>
        </w:rPr>
        <w:t>넥스트핀테크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투자 분</w:t>
      </w:r>
      <w:r>
        <w:rPr>
          <w:rFonts w:ascii="함초롬바탕" w:eastAsia="함초롬바탕" w:hAnsi="함초롬바탕" w:cs="함초롬바탕" w:hint="default"/>
          <w:b/>
          <w:sz w:val="44"/>
        </w:rPr>
        <w:t>석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보고서</w:t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rFonts w:ascii="함초롬바탕" w:eastAsia="함초롬바탕" w:hAnsi="함초롬바탕" w:cs="함초롬바탕" w:hint="default"/>
          <w:sz w:val="40"/>
          <w:szCs w:val="40"/>
        </w:rPr>
        <w:t xml:space="preserve">Confidential </w:t>
      </w:r>
      <w:r>
        <w:rPr>
          <w:rFonts w:ascii="함초롬바탕" w:eastAsia="함초롬바탕" w:hAnsi="함초롬바탕" w:cs="함초롬바탕" w:hint="default"/>
          <w:sz w:val="44"/>
          <w:szCs w:val="44"/>
        </w:rPr>
        <w:t>documen</w: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6432" allowOverlap="1" hidden="0">
                <wp:simplePos x="0" y="0"/>
                <wp:positionH relativeFrom="column">
                  <wp:posOffset>18142</wp:posOffset>
                </wp:positionH>
                <wp:positionV relativeFrom="paragraph">
                  <wp:posOffset>67583</wp:posOffset>
                </wp:positionV>
                <wp:extent cx="5460237" cy="97531"/>
                <wp:effectExtent l="0" t="0" r="0" b="0"/>
                <wp:wrapNone/>
                <wp:docPr id="1031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8277" y="3881113"/>
                          <a:ext cx="5460237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style="position:absolute;margin-left:1.4285pt;margin-top:5.3215pt;width:429.94pt;height:7.67961pt;mso-position-horizontal-relative:column;mso-position-vertical-relative:line;v-text-anchor:middle;mso-wrap-style:square;z-index:1895817215" o:allowincell="t" filled="t" fillcolor="#087dbc" strokecolor="#395e8a" strokeweight="1pt">
                <v:stroke joinstyle="round"/>
              </v:rect>
            </w:pict>
          </mc:Fallback>
        </mc:AlternateConten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</w:p>
    <w:p>
      <w:pPr>
        <w:jc w:val="right"/>
        <w:rPr>
          <w:rFonts w:ascii="함초롬바탕" w:eastAsia="함초롬바탕" w:hAnsi="함초롬바탕" w:cs="함초롬바탕" w:hint="default"/>
          <w:sz w:val="32"/>
          <w:szCs w:val="32"/>
          <w:u w:color="auto"/>
        </w:rPr>
      </w:pPr>
      <w:r>
        <w:rPr>
          <w:rFonts w:ascii="함초롬바탕" w:eastAsia="함초롬바탕" w:hAnsi="함초롬바탕" w:cs="함초롬바탕" w:hint="default"/>
          <w:sz w:val="32"/>
          <w:szCs w:val="32"/>
          <w:u w:color="auto"/>
        </w:rPr>
        <w:t xml:space="preserve">작성일: </w:t>
      </w:r>
      <w:r>
        <w:rPr>
          <w:lang w:eastAsia="ko-KR"/>
          <w:rFonts w:ascii="함초롬바탕" w:eastAsia="함초롬바탕" w:hAnsi="함초롬바탕" w:cs="함초롬바탕" w:hint="default"/>
          <w:sz w:val="32"/>
          <w:szCs w:val="32"/>
          <w:u w:color="auto"/>
          <w:rtl w:val="off"/>
        </w:rPr>
        <w:t>2025-09-23</w:t>
      </w:r>
    </w:p>
    <w:p>
      <w:pPr>
        <w:jc w:val="right"/>
        <w:rPr>
          <w:lang/>
          <w:rFonts w:ascii="함초롬바탕" w:eastAsia="함초롬바탕" w:hAnsi="함초롬바탕" w:cs="함초롬바탕"/>
          <w:sz w:val="32"/>
          <w:szCs w:val="32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32"/>
          <w:szCs w:val="32"/>
          <w:u w:color="auto"/>
        </w:rPr>
        <w:t>작성자: 애널리스트 김현우</w:t>
      </w:r>
    </w:p>
    <w:p>
      <w:pPr>
        <w:jc w:val="right"/>
        <w:rPr>
          <w:lang/>
          <w:rFonts w:ascii="함초롬바탕" w:eastAsia="함초롬바탕" w:hAnsi="함초롬바탕" w:cs="함초롬바탕" w:hint="default"/>
          <w:b w:val="0"/>
          <w:sz w:val="32"/>
          <w:szCs w:val="32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b w:val="0"/>
          <w:sz w:val="32"/>
          <w:szCs w:val="32"/>
          <w:u w:color="auto"/>
          <w:rtl w:val="off"/>
        </w:rPr>
        <w:t xml:space="preserve">Email: </w:t>
      </w:r>
      <w:r>
        <w:rPr>
          <w:rFonts w:ascii="함초롬바탕" w:eastAsia="함초롬바탕" w:hAnsi="함초롬바탕" w:cs="함초롬바탕"/>
          <w:b/>
          <w:sz w:val="32"/>
          <w:szCs w:val="32"/>
          <w:u w:color="auto"/>
          <w:shd w:val="clear" w:color="000000" w:fill="auto"/>
        </w:rPr>
        <w:t>wonseop82@korea.kr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a0"/>
        <w:tblpPr w:vertAnchor="text" w:horzAnchor="page" w:tblpX="3270" w:tblpY="532"/>
        <w:tblOverlap w:val="never"/>
        <w:tblLook w:val="04A0" w:firstRow="1" w:lastRow="0" w:firstColumn="1" w:lastColumn="0" w:noHBand="0" w:noVBand="1"/>
        <w:tblLayout w:type="autofit"/>
      </w:tblPr>
      <w:tblGrid>
        <w:gridCol w:w="2777"/>
        <w:gridCol w:w="27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</w:rPr>
              <w:drawing>
                <wp:anchor distT="0" distB="0" distL="0" distR="0" behindDoc="0" locked="0" layoutInCell="1" simplePos="0" relativeHeight="251665408" allowOverlap="1" hidden="0">
                  <wp:simplePos x="0" y="0"/>
                  <wp:positionH relativeFrom="column">
                    <wp:posOffset>445694</wp:posOffset>
                  </wp:positionH>
                  <wp:positionV relativeFrom="paragraph">
                    <wp:posOffset>12737</wp:posOffset>
                  </wp:positionV>
                  <wp:extent cx="762889" cy="924432"/>
                  <wp:effectExtent l="0" t="0" r="0" b="0"/>
                  <wp:wrapSquare wrapText="bothSides"/>
                  <wp:docPr id="1030" name="shape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shape1027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89" cy="92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>HS Capital</w:t>
            </w: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 xml:space="preserve"> Investment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0"/>
          <w:szCs w:val="20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14"/>
          <w:szCs w:val="14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14"/>
          <w:szCs w:val="14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  <w:r>
        <w:rPr>
          <w:rFonts w:ascii="함초롬바탕" w:eastAsia="함초롬바탕" w:hAnsi="함초롬바탕" w:cs="함초롬바탕" w:hint="default"/>
          <w:sz w:val="22"/>
          <w:szCs w:val="22"/>
        </w:rPr>
        <w:t>서울특별시 성북구 삼선교로 24길 17</w:t>
      </w:r>
    </w:p>
    <w:p>
      <w:pPr>
        <w:pStyle w:val="a1"/>
        <w:ind w:leftChars="0" w:left="800"/>
        <w:jc w:val="center"/>
        <w:tabs>
          <w:tab w:val="right" w:pos="1400" w:leader="middleDot"/>
          <w:tab w:val="right" w:pos="40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4"/>
          <w:szCs w:val="3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44"/>
          <w:szCs w:val="44"/>
          <w:rtl w:val="off"/>
        </w:rPr>
        <w:t>목차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기업 개요 및 투자 요</w:t>
      </w: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약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기업 개요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경영진 및 지배 구조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3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투자 포인트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사업 및 재무 분석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5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핵심 사업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6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 성과 및 추이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7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비용 구조 및 수익성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8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산업 및 시장 동향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9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시장 규모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산업 성장성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10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경쟁 환경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11</w:t>
      </w:r>
    </w:p>
    <w:p>
      <w:p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리스크 및 기회 요인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12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주요 리스크 요인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13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성장 기회 및 미래 전략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벨류에이션 및 결론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15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가치 평가 모델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16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목표 주가 및 투자 의견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17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투자 시나리오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부록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18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재무제표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19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재무상태표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20</w:t>
      </w: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Ⅰ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 기업 개요 및 투자요약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기업 개요</w:t>
            </w:r>
          </w:p>
        </w:tc>
      </w:tr>
    </w:tbl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기업명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넥스트핀테크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주식회사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대표자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윤재혁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사업장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서울특별시 강남구 이노베이션로 321 옵티머스타워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사업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블록체인 기반 투자 플랫폼 및 디지털 자산 관리 솔루션 개발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고객사/계약처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넥스트브릿지인베스트먼트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퀀텀밸류파트너스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스카이캐피탈어드바이저스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주주 구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성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창업주 및 특수관계인: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전략적 투자자(SI):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18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재무적 투자자(FI):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임직원 스톡옵션: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사업 규모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매출액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9,800억 원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2,200억 원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직원 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약 1,250명</w:t>
      </w:r>
    </w:p>
    <w:p>
      <w:pPr>
        <w:spacing w:line="36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pStyle w:val="a1"/>
              <w:jc w:val="center"/>
              <w:numPr>
                <w:ilvl w:val="0"/>
                <w:numId w:val="8"/>
              </w:numPr>
              <w:rPr>
                <w:rFonts w:ascii="함초롬바탕" w:eastAsia="함초롬바탕" w:hAnsi="함초롬바탕" w:cs="함초롬바탕" w:hint="default"/>
                <w:b/>
                <w:bCs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28"/>
                <w:szCs w:val="28"/>
                <w:u w:color="auto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pStyle w:val="a1"/>
              <w:numPr>
                <w:ilvl w:val="0"/>
                <w:numId w:val="8"/>
              </w:numPr>
              <w:rPr>
                <w:rFonts w:ascii="함초롬바탕" w:eastAsia="함초롬바탕" w:hAnsi="함초롬바탕" w:cs="함초롬바탕" w:hint="default"/>
                <w:b/>
                <w:bCs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28"/>
                <w:szCs w:val="28"/>
                <w:u w:color="auto"/>
                <w:rtl w:val="off"/>
              </w:rPr>
              <w:t xml:space="preserve"> 경영진 및 지배 구조</w:t>
            </w:r>
          </w:p>
        </w:tc>
      </w:tr>
    </w:tbl>
    <w:p>
      <w:pPr>
        <w:pStyle w:val="a1"/>
        <w:numPr>
          <w:ilvl w:val="0"/>
          <w:numId w:val="8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이사회 구성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CEO 윤재혁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기업 경영 전반을 총괄, 글로벌 금융 IT 기업에서 20년 이상 경력 보유.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CFO 장민호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前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브라이트인베스트 증권(가상)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부사장 출신으로, 재무·회계 및 자본시장 전략 총괄.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CTO 이서연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前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퓨처테크랩(가상 연구소)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수석 연구원 출신으로, 블록체인 기술 개발 및 R&amp;D 전략 총괄.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주주 현황 (CONFIDENTIAL)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창업주 및 특수관계인: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22%</w:t>
      </w:r>
    </w:p>
    <w:p>
      <w:pPr>
        <w:pStyle w:val="a1"/>
        <w:numPr>
          <w:ilvl w:val="1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전략적 투자자(SI):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18%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재무적 투자자(FI):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25%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임직원 스톡옵션: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12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%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지배 구조 특징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주주 구성은 창업팀을 중심으로 하되, 전략적·재무적 투자자의 참여 비율을 균형 있게 유지하여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경영권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확보.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특정 투자자의 경영 개입을 제한하고,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의결권 차등은 없음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투명한 거버넌스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강화를 위해 이사회 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사외이사 3명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포함하여 독립성 확보.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투자 포인트 요약</w:t>
            </w:r>
          </w:p>
        </w:tc>
      </w:tr>
    </w:tbl>
    <w:p>
      <w:pPr>
        <w:ind w:leftChars="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넥스트핀테크은 금융시장의 핵심 성장 동력을 보유한 선도 기업이다. 독보적인 기술력과 안정적인 사업 구조를 바탕으로 높은 투자 매력도를 보유한다.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견조한 성장세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2022년 1분기 매출액은 전년 동기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18% 증가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 이는 업계 평균을 크게 상회하는 수치이며, 성장 모멘텀이 강화되고 있음을 의미.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높은 수익률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2023년 2분기 영업이익률은 내부 전망에 따라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22% 수준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예상. 이는 핵심 금융 플랫폼 경쟁력 및 비용 효율적 운영 전략에 기인.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독점 기술력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블록체인 기반 투자·결제 기술을 통해 경쟁사 대비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압도적 성능 및 보안성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을 보장. 이 기술은 향후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2024~2026년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진입 장벽을 높이는 핵심 요소로 작용.</w:t>
      </w:r>
    </w:p>
    <w:p>
      <w:pPr>
        <w:pStyle w:val="a1"/>
        <w:numPr>
          <w:ilvl w:val="0"/>
          <w:numId w:val="10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 수익 모델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국내외 주요 금융사 및 대기업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20여 곳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고객으로 확보, 구독형·거래 기반의 안정적인 현금 흐름을 창출. 이는 외부 경기 변동에도 흔들리지 않는 사업 안정성을 제공.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사업 및 재무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4"/>
          <w:szCs w:val="24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핵심 사업 부문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넥스트핀테크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의 핵심 사업 부문은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블록체인 기반 투자 플랫폼 개발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로, 안전하고 편리한 투자 환경을 제공하는 것을 목표로 한다.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제품 및 서비스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핀가드(FinGuard)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안전하고 신뢰성 높은 금융 거래 및 자산 관리 서비스 제공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핀마켓(FinMarket)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다양한 투자 상품과 맞춤형 금융 솔루션 제공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우위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차별화된 경쟁력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넥스트핀테크는 독창적인 블록체인 기술력과 데이터 보안 역량을 통해 시장 내 독보적인 경쟁력을 확보.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내 위치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2024년 기준, 국내 블록체인 금융 시장에서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12~15%의 점유율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차지하며 선도적 위치를 유지.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동력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혁신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: 차세대 블록체인 기술과 AI 기반 알고리즘을 지속적으로 도입해 서비스 성능과 안정성을 강화.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해외 진출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: 아시아 및 북미 시장 진출을 통해 글로벌 투자 플랫폼 기업으로 성장. 이를 통해 향후 3년간 매출 및 고객 기반의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연평균 18% 성장세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달성할 전망.</w:t>
      </w:r>
    </w:p>
    <w:p>
      <w:pP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재무 성과 및 추이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넥스트핀테크은 최근 3년간 지속적인 매출 성장을 기록하며 재무 건전성을 확보.</w:t>
      </w:r>
    </w:p>
    <w:p>
      <w:pPr>
        <w:pStyle w:val="a1"/>
        <w:numPr>
          <w:ilvl w:val="0"/>
          <w:numId w:val="1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 및 영업이익 추이:</w:t>
      </w:r>
    </w:p>
    <w:p>
      <w:pPr>
        <w:pStyle w:val="a1"/>
        <w:numPr>
          <w:ilvl w:val="1"/>
          <w:numId w:val="1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지난 3년간 연평균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%이상의 성장률을 기록하며 재무 건전성을 확보. 특히 202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3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년에는 영업이익이 전년 대비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18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%급증.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8200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9200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9800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1800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2050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2200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1350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1450</w:t>
            </w:r>
          </w:p>
        </w:tc>
      </w:tr>
    </w:tbl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재무 비율 분석: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수익성 지표:2023년기준 ROE(자기자본이익률)는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18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%로 업종 평균(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%)을 상회. 순이익률 또한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%를 기록하며 높은 수익성을 입증.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안정성 지표:부채비율은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55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%로 동종 업계 평균(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70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%) 대비 낮은 수준을 유지. 유동비율은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110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 단기 지급 능력 또한 매우 안정적.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비용 구조 및 수익성</w:t>
            </w:r>
          </w:p>
        </w:tc>
      </w:tr>
    </w:tbl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 및 판관비 상세 분석: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매출원가: 최근 202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3~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4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간 원가율은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%수준으로 안정적. 이는 인건비 절감을 통해 원가 효율성을 지속적으로 개선한 결과.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판매관리비: 판매관리비는 주로 마케팅 비용과 인건비로 구성. 특히, 신규 고객 확보를 위한 마케팅 비용이 전년 대비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8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%증가.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인건비 효율성: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2024년 기준, 직원 1인당 평균 매출액은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7.8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억 원. 이는 업종 평균 대비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%높은 생산성.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손익분기점 분석: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넥스트핀테크의 손익분기점 매출액은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7500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억 원으로, 현재 매출액 대비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%낮은 수준이다. 이는 매출 하락에도 안정적인 수익을 유지할 수 있음을 의미.</w:t>
      </w:r>
    </w:p>
    <w:p>
      <w:pPr>
        <w:pStyle w:val="a1"/>
        <w:numPr>
          <w:ilvl w:val="1"/>
          <w:numId w:val="1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핵심 제품인 핀가드의 영업이익률은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%. 이는 내부 목표치인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%를 초과 달성.</w:t>
      </w: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산업 및 시장 동향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시장 규모</w:t>
            </w:r>
          </w:p>
        </w:tc>
      </w:tr>
    </w:tbl>
    <w:p>
      <w:pPr>
        <w:pStyle w:val="b1"/>
        <w:numPr>
          <w:ilvl w:val="0"/>
          <w:numId w:val="15"/>
        </w:numPr>
        <w:rPr/>
      </w:pPr>
      <w:r>
        <w:rPr>
          <w:lang w:eastAsia="ko-KR"/>
          <w:rtl w:val="off"/>
        </w:rPr>
        <w:t>TAM</w:t>
      </w:r>
      <w:r>
        <w:rPr/>
        <w:t>:</w:t>
      </w:r>
    </w:p>
    <w:p>
      <w:pPr>
        <w:pStyle w:val="b1"/>
        <w:numPr>
          <w:ilvl w:val="1"/>
          <w:numId w:val="15"/>
        </w:numPr>
        <w:rPr>
          <w:b w:val="0"/>
        </w:rPr>
      </w:pPr>
      <w:r>
        <w:t>금융 전체 시장 규모 8</w:t>
      </w:r>
      <w:r>
        <w:rPr>
          <w:lang w:eastAsia="ko-KR"/>
          <w:rtl w:val="off"/>
        </w:rPr>
        <w:t xml:space="preserve">조 </w:t>
      </w:r>
      <w:r>
        <w:t>원으로 추산.</w:t>
      </w:r>
    </w:p>
    <w:p>
      <w:pPr>
        <w:pStyle w:val="b1"/>
        <w:numPr>
          <w:ilvl w:val="1"/>
          <w:numId w:val="15"/>
        </w:numPr>
        <w:rPr/>
      </w:pPr>
      <w:r>
        <w:t>향후 2023</w:t>
      </w:r>
      <w:r>
        <w:rPr>
          <w:lang w:eastAsia="ko-KR"/>
          <w:rtl w:val="off"/>
        </w:rPr>
        <w:t>~</w:t>
      </w:r>
      <w:r>
        <w:t>2026간 연평균 10%의 성장 전망.</w:t>
      </w:r>
    </w:p>
    <w:p>
      <w:pPr>
        <w:pStyle w:val="b1"/>
        <w:numPr>
          <w:ilvl w:val="0"/>
          <w:numId w:val="15"/>
        </w:numPr>
        <w:rPr/>
      </w:pPr>
      <w:r>
        <w:rPr>
          <w:lang w:eastAsia="ko-KR"/>
          <w:rtl w:val="off"/>
        </w:rPr>
        <w:t>SAM</w:t>
      </w:r>
      <w:r>
        <w:rPr/>
        <w:t>:</w:t>
      </w:r>
    </w:p>
    <w:p>
      <w:pPr>
        <w:pStyle w:val="b1"/>
        <w:numPr>
          <w:ilvl w:val="1"/>
          <w:numId w:val="15"/>
        </w:numPr>
        <w:rPr/>
      </w:pPr>
      <w:r>
        <w:t xml:space="preserve">넥스트핀테크이 실제 서비스 및 제품을 제공할 수 있는 개인 투자 시장시장 규모 </w:t>
      </w:r>
      <w:r>
        <w:rPr>
          <w:lang w:eastAsia="ko-KR"/>
          <w:rtl w:val="off"/>
        </w:rPr>
        <w:t xml:space="preserve">2조 5000억 </w:t>
      </w:r>
      <w:r>
        <w:t>원.</w:t>
      </w:r>
    </w:p>
    <w:p>
      <w:pPr>
        <w:pStyle w:val="b1"/>
        <w:numPr>
          <w:ilvl w:val="1"/>
          <w:numId w:val="15"/>
        </w:numPr>
        <w:rPr/>
      </w:pPr>
      <w:r>
        <w:t>이는 주로 개인 투자자을 포함.</w:t>
      </w:r>
    </w:p>
    <w:p>
      <w:pPr>
        <w:pStyle w:val="b1"/>
        <w:numPr>
          <w:ilvl w:val="0"/>
          <w:numId w:val="15"/>
        </w:numPr>
        <w:rPr/>
      </w:pPr>
      <w:r>
        <w:rPr>
          <w:lang w:eastAsia="ko-KR"/>
          <w:rtl w:val="off"/>
        </w:rPr>
        <w:t>SOM</w:t>
      </w:r>
      <w:r>
        <w:rPr/>
        <w:t>:</w:t>
      </w:r>
    </w:p>
    <w:p>
      <w:pPr>
        <w:pStyle w:val="b1"/>
        <w:numPr>
          <w:ilvl w:val="1"/>
          <w:numId w:val="15"/>
        </w:numPr>
        <w:rPr/>
      </w:pPr>
      <w:r>
        <w:t xml:space="preserve">넥스트핀테크이 현실적으로 단기 내 점유할 수 있는 시장 규모 약 </w:t>
      </w:r>
      <w:r>
        <w:rPr>
          <w:lang w:eastAsia="ko-KR"/>
          <w:rtl w:val="off"/>
        </w:rPr>
        <w:t>5000</w:t>
      </w:r>
      <w:r>
        <w:t>억 원.</w:t>
      </w:r>
    </w:p>
    <w:p>
      <w:pPr>
        <w:pStyle w:val="b1"/>
        <w:numPr>
          <w:ilvl w:val="0"/>
          <w:numId w:val="15"/>
        </w:numPr>
        <w:rPr/>
      </w:pPr>
      <w:r>
        <w:rPr/>
        <w:t>내부 시장 분석:</w:t>
      </w:r>
    </w:p>
    <w:p>
      <w:pPr>
        <w:pStyle w:val="b1"/>
        <w:numPr>
          <w:ilvl w:val="1"/>
          <w:numId w:val="15"/>
        </w:numPr>
        <w:rPr>
          <w:lang w:eastAsia="ko-KR"/>
          <w:rFonts w:hint="eastAsia"/>
          <w:rtl w:val="off"/>
        </w:rPr>
      </w:pPr>
      <w:r>
        <w:t>내부 분석에 따르면 향후 2023</w:t>
      </w:r>
      <w:r>
        <w:rPr>
          <w:lang w:eastAsia="ko-KR"/>
          <w:rtl w:val="off"/>
        </w:rPr>
        <w:t>~</w:t>
      </w:r>
      <w:r>
        <w:t xml:space="preserve">2026내 넥스트핀테크의 가상금융플랫폼이 시장에 출시될 경우 실제 점유 가능 시장 </w:t>
      </w:r>
      <w:r>
        <w:rPr>
          <w:lang w:eastAsia="ko-KR"/>
          <w:rtl w:val="off"/>
        </w:rPr>
        <w:t>1조 2000</w:t>
      </w:r>
      <w:r>
        <w:t>억 원으로 확장될 전망.</w:t>
      </w:r>
    </w:p>
    <w:p>
      <w:pPr>
        <w:pStyle w:val="b1"/>
        <w:numPr>
          <w:ilvl w:val="1"/>
          <w:numId w:val="15"/>
        </w:numPr>
        <w:rPr>
          <w:lang w:eastAsia="ko-KR"/>
          <w:rFonts w:hint="eastAsia"/>
          <w:rtl w:val="off"/>
        </w:rPr>
      </w:pPr>
      <w:r>
        <w:t xml:space="preserve">서울에서의 플랫폼 사업 도입으로 시장 점유율 </w:t>
      </w:r>
      <w:r>
        <w:rPr>
          <w:lang w:eastAsia="ko-KR"/>
          <w:rtl w:val="off"/>
        </w:rPr>
        <w:t>25</w:t>
      </w:r>
      <w:r>
        <w:t>% 추가 상승을 기대.</w:t>
      </w: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산업 성장성 분석</w:t>
            </w:r>
          </w:p>
        </w:tc>
      </w:tr>
    </w:tbl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술 혁신:분산원장기술 등 첨단 기술의 상용화는 금융의 적용 범위를 확대. </w:t>
      </w:r>
    </w:p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정책적 지원: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핀테크혁신지원법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등 정부의 적극적인 지원 정책은 기업들의 R&amp;D 투자를 촉진하고 시장 활성화에 기여.</w:t>
      </w:r>
    </w:p>
    <w:p>
      <w:pPr>
        <w:pStyle w:val="a1"/>
        <w:numPr>
          <w:ilvl w:val="0"/>
          <w:numId w:val="16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수요 변화:디지털 전환 가속화 등 최종 소비자의 니즈 변화 또한 산업 성장에 긍정적인 영향.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ab/>
      </w: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경쟁 환경 분석</w:t>
            </w:r>
          </w:p>
        </w:tc>
      </w:tr>
    </w:tbl>
    <w:p>
      <w:pPr>
        <w:tabs>
          <w:tab w:val="left" w:pos="502"/>
        </w:tabs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넥스트핀테크은 독점 기술력를 통해 시장 내 독보적인 위치를 확보한다. </w:t>
      </w:r>
    </w:p>
    <w:p>
      <w:pPr>
        <w:ind w:leftChars="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경쟁사 분석</w:t>
      </w:r>
    </w:p>
    <w:p>
      <w:pPr>
        <w:pStyle w:val="a1"/>
        <w:numPr>
          <w:ilvl w:val="0"/>
          <w:numId w:val="17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아스트라파이낸스: 글로벌 시장 진출을 바탕으로 시장의 뛰어난 마케팅 부문에서 강세를 보임. 최근 높은 가격으로 인해 시장 점유율 일부 하락.</w:t>
      </w:r>
    </w:p>
    <w:p>
      <w:pPr>
        <w:pStyle w:val="a1"/>
        <w:numPr>
          <w:ilvl w:val="0"/>
          <w:numId w:val="17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넥시아금융: 낮은 가격을 강점으로 내세우며 국내 시장에서 확고한 입지 구축. 하지만 기술력 부족이 성장의 걸림돌로 작용.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경쟁사 지표 비교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598"/>
        <w:gridCol w:w="2170"/>
        <w:gridCol w:w="2170"/>
        <w:gridCol w:w="21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7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넥스트핀테크</w:t>
            </w:r>
          </w:p>
        </w:tc>
        <w:tc>
          <w:tcPr>
            <w:tcW w:w="217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아스트라파이낸스</w:t>
            </w:r>
          </w:p>
        </w:tc>
        <w:tc>
          <w:tcPr>
            <w:tcW w:w="217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넥시아금융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시장 점유율(%)</w:t>
            </w:r>
          </w:p>
        </w:tc>
        <w:tc>
          <w:tcPr>
            <w:tcW w:w="217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</w:t>
            </w:r>
          </w:p>
        </w:tc>
        <w:tc>
          <w:tcPr>
            <w:tcW w:w="217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18</w:t>
            </w:r>
          </w:p>
        </w:tc>
        <w:tc>
          <w:tcPr>
            <w:tcW w:w="217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25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영업이익률(%)</w:t>
            </w:r>
          </w:p>
        </w:tc>
        <w:tc>
          <w:tcPr>
            <w:tcW w:w="217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</w:t>
            </w:r>
          </w:p>
        </w:tc>
        <w:tc>
          <w:tcPr>
            <w:tcW w:w="217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</w:t>
            </w:r>
          </w:p>
        </w:tc>
        <w:tc>
          <w:tcPr>
            <w:tcW w:w="217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직원 1인당 생산성</w:t>
            </w:r>
          </w:p>
        </w:tc>
        <w:tc>
          <w:tcPr>
            <w:tcW w:w="217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</w:t>
            </w:r>
          </w:p>
        </w:tc>
        <w:tc>
          <w:tcPr>
            <w:tcW w:w="217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</w:t>
            </w:r>
          </w:p>
        </w:tc>
        <w:tc>
          <w:tcPr>
            <w:tcW w:w="217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11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8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시장 규모(억 원)</w:t>
            </w:r>
          </w:p>
        </w:tc>
        <w:tc>
          <w:tcPr>
            <w:tcW w:w="217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9800</w:t>
            </w:r>
          </w:p>
        </w:tc>
        <w:tc>
          <w:tcPr>
            <w:tcW w:w="217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12500</w:t>
            </w:r>
          </w:p>
        </w:tc>
        <w:tc>
          <w:tcPr>
            <w:tcW w:w="2170" w:type="dxa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15000</w:t>
            </w:r>
          </w:p>
        </w:tc>
      </w:tr>
    </w:tbl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경쟁 전략</w:t>
      </w:r>
    </w:p>
    <w:p>
      <w:pPr>
        <w:pStyle w:val="a1"/>
        <w:numPr>
          <w:ilvl w:val="1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분석에 따르면 아스트라파이낸스의 기술적 어려움은 향후 6개월 내 시장 점유율 40%하락을 야기할 전망.</w:t>
      </w:r>
    </w:p>
    <w:p>
      <w:pPr>
        <w:pStyle w:val="a1"/>
        <w:numPr>
          <w:ilvl w:val="1"/>
          <w:numId w:val="18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넥스트핀테크은 가상금융상품C출시를 통해 넥시아금융의 핵심 고객군을 공략 50%의 시장 점유율을 추가 확보할 계획.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Ⅲ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리스크 및 기회 요인</w:t>
            </w:r>
          </w:p>
        </w:tc>
      </w:tr>
    </w:tbl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주요 리스크 요인</w:t>
            </w:r>
          </w:p>
        </w:tc>
      </w:tr>
    </w:tbl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심화 및 시장 포화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내용: 금융 시장의 급격한 성장은 신규 경쟁사의 진입을 촉발할 수 있음. 특히 대기업의 시장 진출 시 넥스트핀테크의 시장 점유율에 직접적인 위협이 될 수 있음.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점유율 하락 및 수익성 악화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예상.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전략: 독점 기술인 블록체인 기반 금융 기술의 특허 포트폴리오를 강화하고 핵심 고객사와의 장기 계약을 확대하여 경쟁 우위를 유지.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변화 및 규제 리스크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내용: 넥스트핀테크의 핵심 기술인 블록체인 기반 금융 기술보다 혁신적인 신기술이 등장할 경우 기술적 우위 상실의 위험. 또한 데이터 보호 및 개인정보 관련 규제 강화는 솔루션 개발 및 운영에 제약을 줄 수 있음.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경쟁력 상실로 인한 매출 감소 및 규제 준수 비용 증가 우려.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R&amp;D 투자를 지속적으로 확대하여 기술 초격차를 유지하고, 법률 전문가와 협력하여 규제 변화에 선제적으로 대응.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고객사 의존도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내용: 현재 매출의 상당 부분이 50개 주요 고객사에 집중. 특정 고객사와의 계약 변경 또는 해지 시 매출에 심각한 타격 가능성 있음.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수익 구조에 대한 불확실성 증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가 및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현금 흐름에 부정적인 영향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발생.</w:t>
      </w:r>
    </w:p>
    <w:p>
      <w:pPr>
        <w:pStyle w:val="a1"/>
        <w:numPr>
          <w:ilvl w:val="1"/>
          <w:numId w:val="1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전략:신규 고객 확보를 위한 마케팅 활동 강화 및 아시아 시장 등 다양한 시장으로 사업을 확장.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성장 기회 및 미래 전략</w:t>
            </w:r>
          </w:p>
        </w:tc>
      </w:tr>
    </w:tbl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신규 시장 진출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내용: 국내 시장에서의 성공을 발판으로 유럽 시장시장에 진출 계획. 해당 지역 에버그로스 파트너스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 독점 파트너십을 통해 현지 시장을 공략.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예상 효과: 향후 3년간 유럽 시장에서 연평균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%의 매출 성장을 달성하고, 전체 매출의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45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%를 해외 시장에서 창출할 계획.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제품 포트폴리오 확장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 내용:기존 솔루션인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핀가드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을 보완하는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핀가드 100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개발 중. 해당 제품은 안전한 거래 기능을 탑재하며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3000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억 원의 예산을 투입하여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2024년 9월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 출시할 계획.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효과:신규 제품 출시를 통해 넥스트핀테크의 시장 지배력을 강화하고, 양호 추가 확보.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전략적 제휴 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 내용:핀테크의 선두 기업인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노바핀테크와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전략적 제휴 논의 중. 양사의 기술력과 영업 네트워크를 결합하여 구독형 서비스을 공동 개발할 계획.</w:t>
      </w:r>
    </w:p>
    <w:p>
      <w:pPr>
        <w:pStyle w:val="a1"/>
        <w:numPr>
          <w:ilvl w:val="1"/>
          <w:numId w:val="20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효과:제휴를 통해 시장 내 경쟁 우위를 확보하고 향후 5년간 2500억 원의 추가 매출을 창출할 것으로 예상.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Ⅳ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벨류에이션 및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가치 평가 모델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DCF(현금흐름할인법)를 주된 방법론으로 적용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DC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F 모델 핵심 가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정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매출액 성장률: 향후 5년간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%에서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14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%까지의 성장률 하락을 가정. 이후 장기적으로는 산업 평균에 수렴.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영업이익률: 2024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년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기준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%에서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2029년에는 24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%까지 점진적 개선 가정.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자본적 지출:향후 5년간 매출액 대비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17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 수준을 유지.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할인율 : 자본비용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%와 부채비용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%를 고려하여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8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%의 가중평균자본비용을 적용.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영구성장률:장기 시장 성장률을 반영하여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3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 적용.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현금흐름 추정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471"/>
        <w:gridCol w:w="853"/>
        <w:gridCol w:w="1383"/>
        <w:gridCol w:w="1383"/>
        <w:gridCol w:w="1383"/>
        <w:gridCol w:w="138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85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2025</w:t>
            </w:r>
          </w:p>
        </w:tc>
        <w:tc>
          <w:tcPr>
            <w:tcW w:w="138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2026</w:t>
            </w:r>
          </w:p>
        </w:tc>
        <w:tc>
          <w:tcPr>
            <w:tcW w:w="138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2027</w:t>
            </w:r>
          </w:p>
        </w:tc>
        <w:tc>
          <w:tcPr>
            <w:tcW w:w="138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2028</w:t>
            </w:r>
          </w:p>
        </w:tc>
        <w:tc>
          <w:tcPr>
            <w:tcW w:w="1383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2029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 (억 원)</w:t>
            </w:r>
          </w:p>
        </w:tc>
        <w:tc>
          <w:tcPr>
            <w:tcW w:w="85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11500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13800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16500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19500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22500</w:t>
            </w:r>
          </w:p>
        </w:tc>
      </w:tr>
      <w:tr>
        <w:trPr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 (억 원)</w:t>
            </w:r>
          </w:p>
        </w:tc>
        <w:tc>
          <w:tcPr>
            <w:tcW w:w="85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2400</w:t>
            </w:r>
          </w:p>
        </w:tc>
        <w:tc>
          <w:tcPr>
            <w:tcW w:w="138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3000</w:t>
            </w:r>
          </w:p>
        </w:tc>
        <w:tc>
          <w:tcPr>
            <w:tcW w:w="138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3800</w:t>
            </w:r>
          </w:p>
        </w:tc>
        <w:tc>
          <w:tcPr>
            <w:tcW w:w="138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4700</w:t>
            </w:r>
          </w:p>
        </w:tc>
        <w:tc>
          <w:tcPr>
            <w:tcW w:w="138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5500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 (%)</w:t>
            </w:r>
          </w:p>
        </w:tc>
        <w:tc>
          <w:tcPr>
            <w:tcW w:w="85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21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22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23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24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24</w:t>
            </w:r>
          </w:p>
        </w:tc>
      </w:tr>
      <w:tr>
        <w:trPr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영업활동 현금흐름(억 원)</w:t>
            </w:r>
          </w:p>
        </w:tc>
        <w:tc>
          <w:tcPr>
            <w:tcW w:w="85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2600</w:t>
            </w:r>
          </w:p>
        </w:tc>
        <w:tc>
          <w:tcPr>
            <w:tcW w:w="138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3300</w:t>
            </w:r>
          </w:p>
        </w:tc>
        <w:tc>
          <w:tcPr>
            <w:tcW w:w="138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4200</w:t>
            </w:r>
          </w:p>
        </w:tc>
        <w:tc>
          <w:tcPr>
            <w:tcW w:w="138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5200</w:t>
            </w:r>
          </w:p>
        </w:tc>
        <w:tc>
          <w:tcPr>
            <w:tcW w:w="1383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6000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1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투자활동 현금흐름(억 원)</w:t>
            </w:r>
          </w:p>
        </w:tc>
        <w:tc>
          <w:tcPr>
            <w:tcW w:w="85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1800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2200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2700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3300</w:t>
            </w:r>
          </w:p>
        </w:tc>
        <w:tc>
          <w:tcPr>
            <w:tcW w:w="1383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3800</w:t>
            </w:r>
          </w:p>
        </w:tc>
      </w:tr>
    </w:tbl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목표 주가 및 투자 의견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가치 평가 결과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상기 DCF 모델을 통해 산출된 넥스트핀테크의 내재가치는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1조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2000억 원으로 평가. 이를 발행 주식수(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5000000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주)로 나눈 목표 주가는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24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0000원으로 산출. 이는 현재 주가(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180000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원) 대비 약 3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3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%의 상승 여력을 보유.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경쟁사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밸류에이션 비교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넥스트핀테크의 밸류에이션이 적정한지 판단하기 위해 국내 주요 경쟁사들과의 밸류에이션 지표를 비교.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795"/>
        <w:gridCol w:w="2020"/>
        <w:gridCol w:w="2020"/>
        <w:gridCol w:w="202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넥스트핀테크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아스트라파이낸스</w:t>
            </w:r>
          </w:p>
        </w:tc>
        <w:tc>
          <w:tcPr>
            <w:tcW w:w="2020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넥시아금융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주가수익비율 (PER)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11배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14배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18배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주가매출비율 (PSR)</w:t>
            </w:r>
          </w:p>
        </w:tc>
        <w:tc>
          <w:tcPr>
            <w:tcW w:w="2020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4배</w:t>
            </w:r>
          </w:p>
        </w:tc>
        <w:tc>
          <w:tcPr>
            <w:tcW w:w="2020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7배</w:t>
            </w:r>
          </w:p>
        </w:tc>
        <w:tc>
          <w:tcPr>
            <w:tcW w:w="2020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9배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5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기업가치/EBITDA (EV/EBITDA)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10배</w:t>
            </w:r>
          </w:p>
        </w:tc>
        <w:tc>
          <w:tcPr>
            <w:tcW w:w="2020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13배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넥스트핀테크에 대한 투자의견은 매수를 제시. 이는 넥스트핀테크의 성장 잠재력과 견조한 재무 성과, 그리고 경쟁사 대비 저평가된 밸류에이션을 종합적으로 고려한 판단이다.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의견 근거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모멘텀 확보: 신규 시장 진출 및 가상금융상품B 개발을 통해 새로운 성장 동력을 확보하며, 내부적으로 ROA 1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%의 추가 수익성 개선이 예상.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기술적 해자구축: 독점 기술인 블록체인 기반 금융 기술 기술은 경쟁사들이 단기간 내에 모방하기 어려운 기술적 해자 역할을 수행.</w:t>
      </w:r>
    </w:p>
    <w:p>
      <w:pPr>
        <w:pStyle w:val="a1"/>
        <w:numPr>
          <w:ilvl w:val="0"/>
          <w:numId w:val="21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재무 구조: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꾸준한 매출 및 영업이익 성장을 통해 외부 환경 변화에도 흔들리지 않는 안정적인 재무 구조를 구축.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투자 시나리오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가정 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Case: 넥스트핀테크이 현재의 성장 전략을 계획대로 이행하고, 시장 환경이 안정적으로 유지되는 경우.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Bull Case: 블록체인 기반 금융 기술이 예상보다 빠르게 시장에 안착하고,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할로우체인테크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과의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나이트핀테크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와의 전략적 제휴이 성공적으로 체결되는 경우.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Bear Case: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솔라리스벤처스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의 시장 진입이 가속화되고,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셀레티아벤처스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와의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오리암테크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와의 제휴 계약이 예상과 달리 재계약에 실패하는 경우.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시나리오별 핵심 가정 및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목표 주가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710"/>
        <w:gridCol w:w="1554"/>
        <w:gridCol w:w="2295"/>
        <w:gridCol w:w="229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구분</w:t>
            </w:r>
          </w:p>
        </w:tc>
        <w:tc>
          <w:tcPr>
            <w:tcW w:w="155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Base Case</w:t>
            </w:r>
          </w:p>
        </w:tc>
        <w:tc>
          <w:tcPr>
            <w:tcW w:w="229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Bull Case</w:t>
            </w:r>
          </w:p>
        </w:tc>
        <w:tc>
          <w:tcPr>
            <w:tcW w:w="2295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Bear Case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 성장률</w:t>
            </w:r>
          </w:p>
        </w:tc>
        <w:tc>
          <w:tcPr>
            <w:tcW w:w="155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연평균 1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2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% 성장</w:t>
            </w:r>
          </w:p>
        </w:tc>
        <w:tc>
          <w:tcPr>
            <w:tcW w:w="229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연평균 1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8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% 성장</w:t>
            </w:r>
          </w:p>
        </w:tc>
        <w:tc>
          <w:tcPr>
            <w:tcW w:w="229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 xml:space="preserve">연평균 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6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% 성장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</w:t>
            </w:r>
          </w:p>
        </w:tc>
        <w:tc>
          <w:tcPr>
            <w:tcW w:w="1554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18%까지 개선</w:t>
            </w:r>
          </w:p>
        </w:tc>
        <w:tc>
          <w:tcPr>
            <w:tcW w:w="2295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22%까지 개선</w:t>
            </w:r>
          </w:p>
        </w:tc>
        <w:tc>
          <w:tcPr>
            <w:tcW w:w="2295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12</w:t>
            </w: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 xml:space="preserve">%에서 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하락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EBITDA(억 원)</w:t>
            </w:r>
          </w:p>
        </w:tc>
        <w:tc>
          <w:tcPr>
            <w:tcW w:w="155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2000</w:t>
            </w:r>
          </w:p>
        </w:tc>
        <w:tc>
          <w:tcPr>
            <w:tcW w:w="229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20000</w:t>
            </w:r>
          </w:p>
        </w:tc>
        <w:tc>
          <w:tcPr>
            <w:tcW w:w="229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8000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순이익(억 원)</w:t>
            </w:r>
          </w:p>
        </w:tc>
        <w:tc>
          <w:tcPr>
            <w:tcW w:w="1554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7000</w:t>
            </w:r>
          </w:p>
        </w:tc>
        <w:tc>
          <w:tcPr>
            <w:tcW w:w="2295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11000</w:t>
            </w:r>
          </w:p>
        </w:tc>
        <w:tc>
          <w:tcPr>
            <w:tcW w:w="2295" w:type="dxa"/>
          </w:tcPr>
          <w:p>
            <w:pP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4500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목표 주가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(원)</w:t>
            </w:r>
          </w:p>
        </w:tc>
        <w:tc>
          <w:tcPr>
            <w:tcW w:w="155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180000</w:t>
            </w:r>
          </w:p>
        </w:tc>
        <w:tc>
          <w:tcPr>
            <w:tcW w:w="229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250000</w:t>
            </w:r>
          </w:p>
        </w:tc>
        <w:tc>
          <w:tcPr>
            <w:tcW w:w="2295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4"/>
                <w:szCs w:val="24"/>
                <w:u w:color="auto"/>
                <w:rtl w:val="off"/>
              </w:rPr>
              <w:t>120000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시나리오별 상세 분석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Case: 넥스트핀테크은 안정적인 수익 구조를 바탕으로 재무 건전성을 유지. 현재 주가는 내재 가치 대비 저평가되어 있다고 판단한다.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Bull Case 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핀가드 100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 성공적인 시장 안착으로 예상보다 2200억 원의 추가 매출이 발생. 북미 시장에서의 시장 점유율 70%추가 확보 가능. 이는 목표 주가를 70000원까지 상승시키는 주요 요인.</w:t>
      </w:r>
    </w:p>
    <w:p>
      <w:pPr>
        <w:pStyle w:val="a1"/>
        <w:numPr>
          <w:ilvl w:val="0"/>
          <w:numId w:val="22"/>
        </w:numPr>
        <w:rPr>
          <w:lang/>
          <w:rFonts w:ascii="함초롬바탕" w:eastAsia="함초롬바탕" w:hAnsi="함초롬바탕" w:cs="함초롬바탕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Bear Case 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실크송인베스트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와의 재계약 불발로 3000억 원의 매출 손실 발생. 이로 인해 영업이익률이 예상치를 하회. 이는 목표 주가를 40000원 수준으로 하락시키는 주요 리스크 요인.</w:t>
      </w: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4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넥스트핀테크에 대한 종합적인 분석 결과, 이 기업은 금융시장의 핵심 성장 동력을 보유한 선도 기업. 특히, 독보적인 블록체인 기반 금융 기술기술과 안정적인 고객 기반은 기업의 장기적인 성장을 담보한다.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현재의 밸류에이션은 기업의 내재 가치 대비 저평가되어 있으며, 향후 가상금융플랫폼과 같은 신규 사업을 통해 기업 가치가 재평가될 잠재력. 시장의 단기적인 변동성은 존재하지만, 경영진의 전문성과 명확한 성장 전략을 고려할 때 이는 극복 가능한 수준.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Ⅴ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부록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재무제표 요약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아래 재무제표는 넥스트핀테크의 최근 3년간의 주요 재무 상태를 요약한 것이다.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손익계산서 (단위: 억 원)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8200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9200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9800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1800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2050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2200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(억 원)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1200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1350</w:t>
            </w:r>
          </w:p>
        </w:tc>
        <w:tc>
          <w:tcPr>
            <w:tcW w:w="2214" w:type="dxa"/>
          </w:tcPr>
          <w:p>
            <w:pPr>
              <w:jc w:val="left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1450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재무상태표 (단위: 억 원)</w:t>
      </w:r>
    </w:p>
    <w:tbl>
      <w:tblPr>
        <w:tblStyle w:val="b0"/>
        <w:tblLook w:val="04A0" w:firstRow="1" w:lastRow="0" w:firstColumn="1" w:lastColumn="0" w:noHBand="0" w:noVBand="1"/>
        <w:tblLayout w:type="autofit"/>
      </w:tblPr>
      <w:tblGrid>
        <w:gridCol w:w="2214"/>
        <w:gridCol w:w="2214"/>
        <w:gridCol w:w="2214"/>
        <w:gridCol w:w="221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2022년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2023년</w:t>
            </w:r>
          </w:p>
        </w:tc>
        <w:tc>
          <w:tcPr>
            <w:tcW w:w="2214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자산총계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8000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10500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12000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부채총계</w:t>
            </w:r>
          </w:p>
        </w:tc>
        <w:tc>
          <w:tcPr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3000</w:t>
            </w:r>
          </w:p>
        </w:tc>
        <w:tc>
          <w:tcPr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3800</w:t>
            </w:r>
          </w:p>
        </w:tc>
        <w:tc>
          <w:tcPr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4500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>
            <w:pP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자본총계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5000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6700</w:t>
            </w:r>
          </w:p>
        </w:tc>
        <w:tc>
          <w:tcPr>
            <w:tcW w:w="2214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7500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u w:color="auto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u w:color="auto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u w:color="auto"/>
                <w:rtl w:val="off"/>
              </w:rPr>
              <w:t xml:space="preserve">  참고 자료 및 데이터 출처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본 보고서 작성에 활용된 주요 자료 및 데이터 출처는 아래와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같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다.</w:t>
      </w:r>
    </w:p>
    <w:p>
      <w:pPr>
        <w:pStyle w:val="a1"/>
        <w:ind w:left="400" w:hanging="400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넥스트핀테크 정기보고서 및 공시자료</w:t>
      </w:r>
    </w:p>
    <w:p>
      <w:pPr>
        <w:pStyle w:val="a1"/>
        <w:ind w:left="400" w:hanging="400"/>
        <w:numPr>
          <w:ilvl w:val="0"/>
          <w:numId w:val="2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포커스마켓리서치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 금융 시장 보고서</w:t>
      </w:r>
    </w:p>
    <w:p>
      <w:pPr>
        <w:pStyle w:val="a1"/>
        <w:ind w:left="400" w:hanging="400"/>
        <w:numPr>
          <w:ilvl w:val="0"/>
          <w:numId w:val="2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인포데이터랩스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 제공 재무 데이터</w:t>
      </w:r>
    </w:p>
    <w:p>
      <w:pPr>
        <w:pStyle w:val="a1"/>
        <w:ind w:left="400" w:hanging="400"/>
        <w:numPr>
          <w:ilvl w:val="0"/>
          <w:numId w:val="23"/>
        </w:numPr>
        <w:rPr>
          <w:rFonts w:ascii="함초롬바탕" w:eastAsia="함초롬바탕" w:hAnsi="함초롬바탕" w:cs="함초롬바탕" w:hint="default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산업 관련 학술 논문 및 시장 뉴스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HY견명조">
    <w:panose1 w:val="02030600000101010101"/>
    <w:family w:val="HYMyeongJo-Extra"/>
    <w:charset w:val="00"/>
    <w:notTrueType w:val="false"/>
    <w:sig w:usb0="7FFFFFFF" w:usb1="29D77CF9" w:usb2="00000010" w:usb3="00000001" w:csb0="00080000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b60"/>
    <w:multiLevelType w:val="hybridMultilevel"/>
    <w:lvl w:ilvl="0" w:tplc="4090013">
      <w:start w:val="1"/>
      <w:numFmt w:val="upperRoman"/>
      <w:lvlText w:val="%1."/>
      <w:lvlJc w:val="left"/>
      <w:pPr>
        <w:ind w:left="8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200" w:right="0" w:hanging="400"/>
      </w:pPr>
      <w:rPr/>
    </w:lvl>
    <w:lvl w:ilvl="2" w:tplc="409001b">
      <w:start w:val="1"/>
      <w:numFmt w:val="lowerRoman"/>
      <w:lvlText w:val="%3."/>
      <w:lvlJc w:val="left"/>
      <w:pPr>
        <w:ind w:left="1600" w:right="0" w:hanging="400"/>
      </w:pPr>
      <w:rPr/>
    </w:lvl>
    <w:lvl w:ilvl="3" w:tplc="409000f">
      <w:start w:val="1"/>
      <w:lvlText w:val="%4."/>
      <w:lvlJc w:val="left"/>
      <w:pPr>
        <w:ind w:left="20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400" w:right="0" w:hanging="400"/>
      </w:pPr>
      <w:rPr/>
    </w:lvl>
    <w:lvl w:ilvl="5" w:tplc="409001b">
      <w:start w:val="1"/>
      <w:numFmt w:val="lowerRoman"/>
      <w:lvlText w:val="%6."/>
      <w:lvlJc w:val="left"/>
      <w:pPr>
        <w:ind w:left="2800" w:right="0" w:hanging="400"/>
      </w:pPr>
      <w:rPr/>
    </w:lvl>
    <w:lvl w:ilvl="6" w:tplc="409000f">
      <w:start w:val="1"/>
      <w:lvlText w:val="%7."/>
      <w:lvlJc w:val="left"/>
      <w:pPr>
        <w:ind w:left="32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6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000" w:right="0" w:hanging="400"/>
      </w:pPr>
      <w:rPr/>
    </w:lvl>
  </w:abstractNum>
  <w:abstractNum w:abstractNumId="1">
    <w:nsid w:val="fffe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2">
    <w:nsid w:val="7bffff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3">
    <w:nsid w:val="ffff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4">
    <w:nsid w:val="bf7dfc5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5">
    <w:nsid w:val="ffffef6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6">
    <w:nsid w:val="e7effe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7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8">
    <w:nsid w:val="7fffff4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9">
    <w:nsid w:val="ffff732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0">
    <w:nsid w:val="ffff732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1">
    <w:nsid w:val="ff7ff7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2">
    <w:nsid w:val="f7bffe5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3">
    <w:nsid w:val="fff7dfe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4">
    <w:nsid w:val="7bf7d7b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5">
    <w:nsid w:val="fffbf18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6">
    <w:nsid w:val="efdfffa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7">
    <w:nsid w:val="7fffff40"/>
    <w:multiLevelType w:val="hybridMultilevel"/>
    <w:lvl w:ilvl="0" w:tplc="409006c">
      <w:start w:val="1"/>
      <w:numFmt w:val="bullet"/>
      <w:lvlText w:val=""/>
      <w:lvlJc w:val="left"/>
      <w:pPr>
        <w:ind w:left="800" w:right="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8">
    <w:nsid w:val="ff7ff73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bfffffe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d7fffba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>
    <w:nsid w:val="fd77fff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>
    <w:nsid w:val="6f7fff9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9"/>
  </w:num>
  <w:num w:numId="9">
    <w:abstractNumId w:val="20"/>
  </w:num>
  <w:num w:numId="10">
    <w:abstractNumId w:val="21"/>
  </w:num>
  <w:num w:numId="11">
    <w:abstractNumId w:val="22"/>
  </w:num>
  <w:num w:numId="12">
    <w:abstractNumId w:val="7"/>
  </w:num>
  <w:num w:numId="13">
    <w:abstractNumId w:val="8"/>
  </w:num>
  <w:num w:numId="14">
    <w:abstractNumId w:val="9"/>
  </w:num>
  <w:num w:numId="15">
    <w:abstractNumId w:val="10"/>
  </w:num>
  <w:num w:numId="16">
    <w:abstractNumId w:val="11"/>
  </w:num>
  <w:num w:numId="17">
    <w:abstractNumId w:val="12"/>
  </w:num>
  <w:num w:numId="18">
    <w:abstractNumId w:val="13"/>
  </w:num>
  <w:num w:numId="19">
    <w:abstractNumId w:val="14"/>
  </w:num>
  <w:num w:numId="20">
    <w:abstractNumId w:val="15"/>
  </w:num>
  <w:num w:numId="21">
    <w:abstractNumId w:val="16"/>
  </w:num>
  <w:num w:numId="22">
    <w:abstractNumId w:val="17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88835" w:unhideWhenUsed="1"/>
    <w:lsdException w:name="toc 2" w:semiHidden="1" w:uiPriority="1388835" w:unhideWhenUsed="1"/>
    <w:lsdException w:name="toc 3" w:semiHidden="1" w:uiPriority="1388835" w:unhideWhenUsed="1"/>
    <w:lsdException w:name="toc 4" w:semiHidden="1" w:uiPriority="1388835" w:unhideWhenUsed="1"/>
    <w:lsdException w:name="toc 5" w:semiHidden="1" w:uiPriority="1388835" w:unhideWhenUsed="1"/>
    <w:lsdException w:name="toc 6" w:semiHidden="1" w:uiPriority="1388835" w:unhideWhenUsed="1"/>
    <w:lsdException w:name="toc 7" w:semiHidden="1" w:uiPriority="1388835" w:unhideWhenUsed="1"/>
    <w:lsdException w:name="toc 8" w:semiHidden="1" w:uiPriority="1388835" w:unhideWhenUsed="1"/>
    <w:lsdException w:name="toc 9" w:semiHidden="1" w:uiPriority="13888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8869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40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40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53094" w:qFormat="1"/>
    <w:lsdException w:name="Emphasis" w:uiPriority="13959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888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5009334"/>
    <w:lsdException w:name="Light List" w:uiPriority="35009335"/>
    <w:lsdException w:name="Light Grid" w:uiPriority="35009348"/>
    <w:lsdException w:name="Medium Shading 1" w:uiPriority="35009349"/>
    <w:lsdException w:name="Medium Shading 2" w:uiPriority="421734532"/>
    <w:lsdException w:name="Medium List 1" w:uiPriority="421734533"/>
    <w:lsdException w:name="Medium List 2" w:uiPriority="422802258"/>
    <w:lsdException w:name="Medium Grid 1" w:uiPriority="422802259"/>
    <w:lsdException w:name="Medium Grid 2" w:uiPriority="422802728"/>
    <w:lsdException w:name="Medium Grid 3" w:uiPriority="422802729"/>
    <w:lsdException w:name="Dark List" w:uiPriority="422807686"/>
    <w:lsdException w:name="Colorful Shading" w:uiPriority="422807687"/>
    <w:lsdException w:name="Colorful List" w:uiPriority="422868888"/>
    <w:lsdException w:name="Colorful Grid" w:uiPriority="422868889"/>
    <w:lsdException w:name="Light Shading Accent 1" w:uiPriority="35009334"/>
    <w:lsdException w:name="Light List Accent 1" w:uiPriority="35009335"/>
    <w:lsdException w:name="Light Grid Accent 1" w:uiPriority="35009348"/>
    <w:lsdException w:name="Medium Shading 1 Accent 1" w:uiPriority="35009349"/>
    <w:lsdException w:name="Medium Shading 2 Accent 1" w:uiPriority="421734532"/>
    <w:lsdException w:name="Medium List 1 Accent 1" w:uiPriority="421734533"/>
    <w:lsdException w:name="Revision" w:semiHidden="1"/>
    <w:lsdException w:name="List Paragraph" w:uiPriority="1388692" w:qFormat="1"/>
    <w:lsdException w:name="Quote" w:uiPriority="1257875" w:qFormat="1"/>
    <w:lsdException w:name="Intense Quote" w:uiPriority="1273956" w:qFormat="1"/>
    <w:lsdException w:name="Medium List 2 Accent 1" w:uiPriority="422802258"/>
    <w:lsdException w:name="Medium Grid 1 Accent 1" w:uiPriority="422802259"/>
    <w:lsdException w:name="Medium Grid 2 Accent 1" w:uiPriority="422802728"/>
    <w:lsdException w:name="Medium Grid 3 Accent 1" w:uiPriority="422802729"/>
    <w:lsdException w:name="Dark List Accent 1" w:uiPriority="422807686"/>
    <w:lsdException w:name="Colorful Shading Accent 1" w:uiPriority="422807687"/>
    <w:lsdException w:name="Colorful List Accent 1" w:uiPriority="422868888"/>
    <w:lsdException w:name="Colorful Grid Accent 1" w:uiPriority="422868889"/>
    <w:lsdException w:name="Light Shading Accent 2" w:uiPriority="35009334"/>
    <w:lsdException w:name="Light List Accent 2" w:uiPriority="35009335"/>
    <w:lsdException w:name="Light Grid Accent 2" w:uiPriority="35009348"/>
    <w:lsdException w:name="Medium Shading 1 Accent 2" w:uiPriority="35009349"/>
    <w:lsdException w:name="Medium Shading 2 Accent 2" w:uiPriority="421734532"/>
    <w:lsdException w:name="Medium List 1 Accent 2" w:uiPriority="421734533"/>
    <w:lsdException w:name="Medium List 2 Accent 2" w:uiPriority="422802258"/>
    <w:lsdException w:name="Medium Grid 1 Accent 2" w:uiPriority="422802259"/>
    <w:lsdException w:name="Medium Grid 2 Accent 2" w:uiPriority="422802728"/>
    <w:lsdException w:name="Medium Grid 3 Accent 2" w:uiPriority="422802729"/>
    <w:lsdException w:name="Dark List Accent 2" w:uiPriority="422807686"/>
    <w:lsdException w:name="Colorful Shading Accent 2" w:uiPriority="422807687"/>
    <w:lsdException w:name="Colorful List Accent 2" w:uiPriority="422868888"/>
    <w:lsdException w:name="Colorful Grid Accent 2" w:uiPriority="422868889"/>
    <w:lsdException w:name="Light Shading Accent 3" w:uiPriority="35009334"/>
    <w:lsdException w:name="Light List Accent 3" w:uiPriority="35009335"/>
    <w:lsdException w:name="Light Grid Accent 3" w:uiPriority="35009348"/>
    <w:lsdException w:name="Medium Shading 1 Accent 3" w:uiPriority="35009349"/>
    <w:lsdException w:name="Medium Shading 2 Accent 3" w:uiPriority="421734532"/>
    <w:lsdException w:name="Medium List 1 Accent 3" w:uiPriority="421734533"/>
    <w:lsdException w:name="Medium List 2 Accent 3" w:uiPriority="422802258"/>
    <w:lsdException w:name="Medium Grid 1 Accent 3" w:uiPriority="422802259"/>
    <w:lsdException w:name="Medium Grid 2 Accent 3" w:uiPriority="422802728"/>
    <w:lsdException w:name="Medium Grid 3 Accent 3" w:uiPriority="422802729"/>
    <w:lsdException w:name="Dark List Accent 3" w:uiPriority="422807686"/>
    <w:lsdException w:name="Colorful Shading Accent 3" w:uiPriority="422807687"/>
    <w:lsdException w:name="Colorful List Accent 3" w:uiPriority="422868888"/>
    <w:lsdException w:name="Colorful Grid Accent 3" w:uiPriority="422868889"/>
    <w:lsdException w:name="Light Shading Accent 4" w:uiPriority="35009334"/>
    <w:lsdException w:name="Light List Accent 4" w:uiPriority="35009335"/>
    <w:lsdException w:name="Light Grid Accent 4" w:uiPriority="35009348"/>
    <w:lsdException w:name="Medium Shading 1 Accent 4" w:uiPriority="35009349"/>
    <w:lsdException w:name="Medium Shading 2 Accent 4" w:uiPriority="421734532"/>
    <w:lsdException w:name="Medium List 1 Accent 4" w:uiPriority="421734533"/>
    <w:lsdException w:name="Medium List 2 Accent 4" w:uiPriority="422802258"/>
    <w:lsdException w:name="Medium Grid 1 Accent 4" w:uiPriority="422802259"/>
    <w:lsdException w:name="Medium Grid 2 Accent 4" w:uiPriority="422802728"/>
    <w:lsdException w:name="Medium Grid 3 Accent 4" w:uiPriority="422802729"/>
    <w:lsdException w:name="Dark List Accent 4" w:uiPriority="422807686"/>
    <w:lsdException w:name="Colorful Shading Accent 4" w:uiPriority="422807687"/>
    <w:lsdException w:name="Colorful List Accent 4" w:uiPriority="422868888"/>
    <w:lsdException w:name="Colorful Grid Accent 4" w:uiPriority="422868889"/>
    <w:lsdException w:name="Light Shading Accent 5" w:uiPriority="35009334"/>
    <w:lsdException w:name="Light List Accent 5" w:uiPriority="35009335"/>
    <w:lsdException w:name="Light Grid Accent 5" w:uiPriority="35009348"/>
    <w:lsdException w:name="Medium Shading 1 Accent 5" w:uiPriority="35009349"/>
    <w:lsdException w:name="Medium Shading 2 Accent 5" w:uiPriority="421734532"/>
    <w:lsdException w:name="Medium List 1 Accent 5" w:uiPriority="421734533"/>
    <w:lsdException w:name="Medium List 2 Accent 5" w:uiPriority="422802258"/>
    <w:lsdException w:name="Medium Grid 1 Accent 5" w:uiPriority="422802259"/>
    <w:lsdException w:name="Medium Grid 2 Accent 5" w:uiPriority="422802728"/>
    <w:lsdException w:name="Medium Grid 3 Accent 5" w:uiPriority="422802729"/>
    <w:lsdException w:name="Dark List Accent 5" w:uiPriority="422807686"/>
    <w:lsdException w:name="Colorful Shading Accent 5" w:uiPriority="422807687"/>
    <w:lsdException w:name="Colorful List Accent 5" w:uiPriority="422868888"/>
    <w:lsdException w:name="Colorful Grid Accent 5" w:uiPriority="422868889"/>
    <w:lsdException w:name="Light Shading Accent 6" w:uiPriority="35009334"/>
    <w:lsdException w:name="Light List Accent 6" w:uiPriority="35009335"/>
    <w:lsdException w:name="Light Grid Accent 6" w:uiPriority="35009348"/>
    <w:lsdException w:name="Medium Shading 1 Accent 6" w:uiPriority="35009349"/>
    <w:lsdException w:name="Medium Shading 2 Accent 6" w:uiPriority="421734532"/>
    <w:lsdException w:name="Medium List 1 Accent 6" w:uiPriority="421734533"/>
    <w:lsdException w:name="Medium List 2 Accent 6" w:uiPriority="422802258"/>
    <w:lsdException w:name="Medium Grid 1 Accent 6" w:uiPriority="422802259"/>
    <w:lsdException w:name="Medium Grid 2 Accent 6" w:uiPriority="422802728"/>
    <w:lsdException w:name="Medium Grid 3 Accent 6" w:uiPriority="422802729"/>
    <w:lsdException w:name="Dark List Accent 6" w:uiPriority="422807686"/>
    <w:lsdException w:name="Colorful Shading Accent 6" w:uiPriority="422807687"/>
    <w:lsdException w:name="Colorful List Accent 6" w:uiPriority="422868888"/>
    <w:lsdException w:name="Colorful Grid Accent 6" w:uiPriority="422868889"/>
    <w:lsdException w:name="Subtle Emphasis" w:uiPriority="25609" w:qFormat="1"/>
    <w:lsdException w:name="Intense Emphasis" w:uiPriority="139593" w:qFormat="1"/>
    <w:lsdException w:name="Subtle Reference" w:uiPriority="1273957" w:qFormat="1"/>
    <w:lsdException w:name="Intense Reference" w:uiPriority="1283474" w:qFormat="1"/>
    <w:lsdException w:name="Book Title" w:uiPriority="1283475" w:qFormat="1"/>
    <w:lsdException w:name="Bibliography" w:semiHidden="1" w:uiPriority="1388695" w:unhideWhenUsed="1"/>
    <w:lsdException w:name="TOC Heading" w:semiHidden="1" w:uiPriority="1388835" w:unhideWhenUsed="1" w:qFormat="1"/>
    <w:lsdException w:name="Plain Table 1" w:uiPriority="19232885"/>
    <w:lsdException w:name="Plain Table 2" w:uiPriority="19337352"/>
    <w:lsdException w:name="Plain Table 3" w:uiPriority="19337353"/>
    <w:lsdException w:name="Plain Table 4" w:uiPriority="19337528"/>
    <w:lsdException w:name="Plain Table 5" w:uiPriority="19337529"/>
    <w:lsdException w:name="Grid Table Light" w:uiPriority="19232884"/>
    <w:lsdException w:name="Grid Table 1 Light" w:uiPriority="19338886"/>
    <w:lsdException w:name="Grid Table 2" w:uiPriority="19338887"/>
    <w:lsdException w:name="Grid Table 3" w:uiPriority="19347798"/>
    <w:lsdException w:name="Grid Table 4" w:uiPriority="19347799"/>
    <w:lsdException w:name="Grid Table 5 Dark" w:uiPriority="19412084"/>
    <w:lsdException w:name="Grid Table 6 Colorful" w:uiPriority="19412085"/>
    <w:lsdException w:name="Grid Table 7 Colorful" w:uiPriority="20481682"/>
    <w:lsdException w:name="Grid Table 1 Light Accent 1" w:uiPriority="19338886"/>
    <w:lsdException w:name="Grid Table 2 Accent 1" w:uiPriority="19338887"/>
    <w:lsdException w:name="Grid Table 3 Accent 1" w:uiPriority="19347798"/>
    <w:lsdException w:name="Grid Table 4 Accent 1" w:uiPriority="19347799"/>
    <w:lsdException w:name="Grid Table 5 Dark Accent 1" w:uiPriority="19412084"/>
    <w:lsdException w:name="Grid Table 6 Colorful Accent 1" w:uiPriority="19412085"/>
    <w:lsdException w:name="Grid Table 7 Colorful Accent 1" w:uiPriority="20481682"/>
    <w:lsdException w:name="Grid Table 1 Light Accent 2" w:uiPriority="19338886"/>
    <w:lsdException w:name="Grid Table 2 Accent 2" w:uiPriority="19338887"/>
    <w:lsdException w:name="Grid Table 3 Accent 2" w:uiPriority="19347798"/>
    <w:lsdException w:name="Grid Table 4 Accent 2" w:uiPriority="19347799"/>
    <w:lsdException w:name="Grid Table 5 Dark Accent 2" w:uiPriority="19412084"/>
    <w:lsdException w:name="Grid Table 6 Colorful Accent 2" w:uiPriority="19412085"/>
    <w:lsdException w:name="Grid Table 7 Colorful Accent 2" w:uiPriority="20481682"/>
    <w:lsdException w:name="Grid Table 1 Light Accent 3" w:uiPriority="19338886"/>
    <w:lsdException w:name="Grid Table 2 Accent 3" w:uiPriority="19338887"/>
    <w:lsdException w:name="Grid Table 3 Accent 3" w:uiPriority="19347798"/>
    <w:lsdException w:name="Grid Table 4 Accent 3" w:uiPriority="19347799"/>
    <w:lsdException w:name="Grid Table 5 Dark Accent 3" w:uiPriority="19412084"/>
    <w:lsdException w:name="Grid Table 6 Colorful Accent 3" w:uiPriority="19412085"/>
    <w:lsdException w:name="Grid Table 7 Colorful Accent 3" w:uiPriority="20481682"/>
    <w:lsdException w:name="Grid Table 1 Light Accent 4" w:uiPriority="19338886"/>
    <w:lsdException w:name="Grid Table 2 Accent 4" w:uiPriority="19338887"/>
    <w:lsdException w:name="Grid Table 3 Accent 4" w:uiPriority="19347798"/>
    <w:lsdException w:name="Grid Table 4 Accent 4" w:uiPriority="19347799"/>
    <w:lsdException w:name="Grid Table 5 Dark Accent 4" w:uiPriority="19412084"/>
    <w:lsdException w:name="Grid Table 6 Colorful Accent 4" w:uiPriority="19412085"/>
    <w:lsdException w:name="Grid Table 7 Colorful Accent 4" w:uiPriority="20481682"/>
    <w:lsdException w:name="Grid Table 1 Light Accent 5" w:uiPriority="19338886"/>
    <w:lsdException w:name="Grid Table 2 Accent 5" w:uiPriority="19338887"/>
    <w:lsdException w:name="Grid Table 3 Accent 5" w:uiPriority="19347798"/>
    <w:lsdException w:name="Grid Table 4 Accent 5" w:uiPriority="19347799"/>
    <w:lsdException w:name="Grid Table 5 Dark Accent 5" w:uiPriority="19412084"/>
    <w:lsdException w:name="Grid Table 6 Colorful Accent 5" w:uiPriority="19412085"/>
    <w:lsdException w:name="Grid Table 7 Colorful Accent 5" w:uiPriority="20481682"/>
    <w:lsdException w:name="Grid Table 1 Light Accent 6" w:uiPriority="19338886"/>
    <w:lsdException w:name="Grid Table 2 Accent 6" w:uiPriority="19338887"/>
    <w:lsdException w:name="Grid Table 3 Accent 6" w:uiPriority="19347798"/>
    <w:lsdException w:name="Grid Table 4 Accent 6" w:uiPriority="19347799"/>
    <w:lsdException w:name="Grid Table 5 Dark Accent 6" w:uiPriority="19412084"/>
    <w:lsdException w:name="Grid Table 6 Colorful Accent 6" w:uiPriority="19412085"/>
    <w:lsdException w:name="Grid Table 7 Colorful Accent 6" w:uiPriority="20481682"/>
    <w:lsdException w:name="List Table 1 Light" w:uiPriority="19338886"/>
    <w:lsdException w:name="List Table 2" w:uiPriority="19338887"/>
    <w:lsdException w:name="List Table 3" w:uiPriority="19347798"/>
    <w:lsdException w:name="List Table 4" w:uiPriority="19347799"/>
    <w:lsdException w:name="List Table 5 Dark" w:uiPriority="19412084"/>
    <w:lsdException w:name="List Table 6 Colorful" w:uiPriority="19412085"/>
    <w:lsdException w:name="List Table 7 Colorful" w:uiPriority="20481682"/>
    <w:lsdException w:name="List Table 1 Light Accent 1" w:uiPriority="19338886"/>
    <w:lsdException w:name="List Table 2 Accent 1" w:uiPriority="19338887"/>
    <w:lsdException w:name="List Table 3 Accent 1" w:uiPriority="19347798"/>
    <w:lsdException w:name="List Table 4 Accent 1" w:uiPriority="19347799"/>
    <w:lsdException w:name="List Table 5 Dark Accent 1" w:uiPriority="19412084"/>
    <w:lsdException w:name="List Table 6 Colorful Accent 1" w:uiPriority="19412085"/>
    <w:lsdException w:name="List Table 7 Colorful Accent 1" w:uiPriority="20481682"/>
    <w:lsdException w:name="List Table 1 Light Accent 2" w:uiPriority="19338886"/>
    <w:lsdException w:name="List Table 2 Accent 2" w:uiPriority="19338887"/>
    <w:lsdException w:name="List Table 3 Accent 2" w:uiPriority="19347798"/>
    <w:lsdException w:name="List Table 4 Accent 2" w:uiPriority="19347799"/>
    <w:lsdException w:name="List Table 5 Dark Accent 2" w:uiPriority="19412084"/>
    <w:lsdException w:name="List Table 6 Colorful Accent 2" w:uiPriority="19412085"/>
    <w:lsdException w:name="List Table 7 Colorful Accent 2" w:uiPriority="20481682"/>
    <w:lsdException w:name="List Table 1 Light Accent 3" w:uiPriority="19338886"/>
    <w:lsdException w:name="List Table 2 Accent 3" w:uiPriority="19338887"/>
    <w:lsdException w:name="List Table 3 Accent 3" w:uiPriority="19347798"/>
    <w:lsdException w:name="List Table 4 Accent 3" w:uiPriority="19347799"/>
    <w:lsdException w:name="List Table 5 Dark Accent 3" w:uiPriority="19412084"/>
    <w:lsdException w:name="List Table 6 Colorful Accent 3" w:uiPriority="19412085"/>
    <w:lsdException w:name="List Table 7 Colorful Accent 3" w:uiPriority="20481682"/>
    <w:lsdException w:name="List Table 1 Light Accent 4" w:uiPriority="19338886"/>
    <w:lsdException w:name="List Table 2 Accent 4" w:uiPriority="19338887"/>
    <w:lsdException w:name="List Table 3 Accent 4" w:uiPriority="19347798"/>
    <w:lsdException w:name="List Table 4 Accent 4" w:uiPriority="19347799"/>
    <w:lsdException w:name="List Table 5 Dark Accent 4" w:uiPriority="19412084"/>
    <w:lsdException w:name="List Table 6 Colorful Accent 4" w:uiPriority="19412085"/>
    <w:lsdException w:name="List Table 7 Colorful Accent 4" w:uiPriority="20481682"/>
    <w:lsdException w:name="List Table 1 Light Accent 5" w:uiPriority="19338886"/>
    <w:lsdException w:name="List Table 2 Accent 5" w:uiPriority="19338887"/>
    <w:lsdException w:name="List Table 3 Accent 5" w:uiPriority="19347798"/>
    <w:lsdException w:name="List Table 4 Accent 5" w:uiPriority="19347799"/>
    <w:lsdException w:name="List Table 5 Dark Accent 5" w:uiPriority="19412084"/>
    <w:lsdException w:name="List Table 6 Colorful Accent 5" w:uiPriority="19412085"/>
    <w:lsdException w:name="List Table 7 Colorful Accent 5" w:uiPriority="20481682"/>
    <w:lsdException w:name="List Table 1 Light Accent 6" w:uiPriority="19338886"/>
    <w:lsdException w:name="List Table 2 Accent 6" w:uiPriority="19338887"/>
    <w:lsdException w:name="List Table 3 Accent 6" w:uiPriority="19347798"/>
    <w:lsdException w:name="List Table 4 Accent 6" w:uiPriority="19347799"/>
    <w:lsdException w:name="List Table 5 Dark Accent 6" w:uiPriority="19412084"/>
    <w:lsdException w:name="List Table 6 Colorful Accent 6" w:uiPriority="19412085"/>
    <w:lsdException w:name="List Table 7 Colorful Accent 6" w:uiPriority="204816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Table Grid"/>
    <w:uiPriority w:val="59"/>
    <w:basedOn w:val="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1">
    <w:name w:val="List Paragraph"/>
    <w:uiPriority w:val="34"/>
    <w:basedOn w:val="a2"/>
    <w:qFormat/>
    <w:pPr>
      <w:ind w:left="720"/>
      <w:contextualSpacing/>
    </w:p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0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paragraph" w:customStyle="1" w:styleId="b1">
    <w:name w:val="스타일1"/>
    <w:basedOn w:val="a2"/>
    <w:qFormat/>
    <w:rPr>
      <w:rFonts w:ascii="함초롬바탕" w:eastAsia="함초롬바탕" w:hAnsi="함초롬바탕" w:cs="함초롬바탕" w:hint="default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gkseh</dc:creator>
  <cp:keywords/>
  <dc:description/>
  <cp:lastModifiedBy>gkseh</cp:lastModifiedBy>
  <cp:revision>1</cp:revision>
  <dcterms:modified xsi:type="dcterms:W3CDTF">2025-09-25T17:42:19Z</dcterms:modified>
  <cp:version>1300.0100.01</cp:version>
</cp:coreProperties>
</file>