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/>
          <w:rFonts w:ascii="함초롬바탕" w:eastAsia="함초롬바탕" w:hAnsi="함초롬바탕" w:cs="함초롬바탕" w:hint="default"/>
          <w:b/>
          <w:sz w:val="44"/>
          <w:rtl w:val="off"/>
        </w:rPr>
      </w:pPr>
      <w:bookmarkStart w:id="1" w:name="_top"/>
      <w:bookmarkEnd w:id="1"/>
      <w:r>
        <w:rPr>
          <w:lang/>
          <w:rFonts w:ascii="함초롬바탕" w:eastAsia="함초롬바탕" w:hAnsi="함초롬바탕" w:cs="함초롬바탕" w:hint="default"/>
          <w:b/>
          <w:sz w:val="44"/>
          <w:rtl w:val="off"/>
        </w:rPr>
        <mc:AlternateContent>
          <mc:Choice Requires="wps">
            <w:drawing>
              <wp:anchor distT="0" distB="0" distL="114300" distR="114300" behindDoc="0" locked="0" layoutInCell="1" simplePos="0" relativeHeight="251661312" allowOverlap="1" hidden="0">
                <wp:simplePos x="0" y="0"/>
                <wp:positionH relativeFrom="column">
                  <wp:posOffset>14061</wp:posOffset>
                </wp:positionH>
                <wp:positionV relativeFrom="paragraph">
                  <wp:posOffset>889725</wp:posOffset>
                </wp:positionV>
                <wp:extent cx="5460238" cy="97531"/>
                <wp:effectExtent l="0" t="0" r="0" b="0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1094196" y="2150200"/>
                          <a:ext cx="5460238" cy="97531"/>
                        </a:xfrm>
                        <a:prstGeom prst="rect">
                          <a:avLst/>
                        </a:prstGeom>
                        <a:solidFill>
                          <a:srgbClr val="087dbc">
                            <a:alpha val="10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1.10717pt;margin-top:70.0571pt;width:429.94pt;height:7.67961pt;mso-position-horizontal-relative:column;mso-position-vertical-relative:line;v-text-anchor:middle;mso-wrap-style:square;z-index:1895822335" o:allowincell="t" filled="t" fillcolor="#087dbc" strokecolor="#395e8a" strokeweight="1pt">
                <v:stroke joinstyle="round"/>
              </v:rect>
            </w:pict>
          </mc:Fallback>
        </mc:AlternateContent>
      </w:r>
      <w:r>
        <w:rPr>
          <w:rFonts w:ascii="함초롬바탕" w:eastAsia="함초롬바탕" w:hAnsi="함초롬바탕" w:cs="함초롬바탕" w:hint="default"/>
          <w:b/>
          <w:sz w:val="44"/>
        </w:rPr>
        <w:br/>
      </w:r>
    </w:p>
    <w:p>
      <w:pPr>
        <w:jc w:val="center"/>
        <w:rPr>
          <w:rFonts w:ascii="함초롬바탕" w:eastAsia="함초롬바탕" w:hAnsi="함초롬바탕" w:cs="함초롬바탕" w:hint="default"/>
        </w:rPr>
      </w:pPr>
      <w:r>
        <w:rPr>
          <w:lang w:eastAsia="ko-KR"/>
          <w:rFonts w:ascii="함초롬바탕" w:eastAsia="함초롬바탕" w:hAnsi="함초롬바탕" w:cs="함초롬바탕" w:hint="default"/>
          <w:b/>
          <w:sz w:val="44"/>
          <w:rtl w:val="off"/>
        </w:rPr>
        <w:t>퓨처배터리</w:t>
      </w:r>
      <w:r>
        <w:rPr>
          <w:rFonts w:ascii="함초롬바탕" w:eastAsia="함초롬바탕" w:hAnsi="함초롬바탕" w:cs="함초롬바탕" w:hint="default"/>
          <w:b/>
          <w:sz w:val="44"/>
        </w:rPr>
        <w:t xml:space="preserve"> 투자 분</w:t>
      </w:r>
      <w:r>
        <w:rPr>
          <w:rFonts w:ascii="함초롬바탕" w:eastAsia="함초롬바탕" w:hAnsi="함초롬바탕" w:cs="함초롬바탕" w:hint="default"/>
          <w:b/>
          <w:sz w:val="44"/>
        </w:rPr>
        <w:t>석</w:t>
      </w:r>
      <w:r>
        <w:rPr>
          <w:rFonts w:ascii="함초롬바탕" w:eastAsia="함초롬바탕" w:hAnsi="함초롬바탕" w:cs="함초롬바탕" w:hint="default"/>
          <w:b/>
          <w:sz w:val="44"/>
        </w:rPr>
        <w:t xml:space="preserve"> 보고서</w:t>
      </w:r>
    </w:p>
    <w:p>
      <w:pPr>
        <w:jc w:val="center"/>
        <w:rPr>
          <w:rFonts w:ascii="함초롬바탕" w:eastAsia="함초롬바탕" w:hAnsi="함초롬바탕" w:cs="함초롬바탕" w:hint="default"/>
        </w:rPr>
      </w:pPr>
      <w:r>
        <w:rPr>
          <w:rFonts w:ascii="함초롬바탕" w:eastAsia="함초롬바탕" w:hAnsi="함초롬바탕" w:cs="함초롬바탕" w:hint="default"/>
          <w:sz w:val="40"/>
          <w:szCs w:val="40"/>
        </w:rPr>
        <w:t xml:space="preserve">Confidential </w:t>
      </w:r>
      <w:r>
        <w:rPr>
          <w:rFonts w:ascii="함초롬바탕" w:eastAsia="함초롬바탕" w:hAnsi="함초롬바탕" w:cs="함초롬바탕" w:hint="default"/>
          <w:sz w:val="44"/>
          <w:szCs w:val="44"/>
        </w:rPr>
        <w:t>documen</w:t>
      </w:r>
    </w:p>
    <w:p>
      <w:pPr>
        <w:rPr>
          <w:lang w:eastAsia="ko-KR"/>
          <w:rFonts w:ascii="함초롬바탕" w:eastAsia="함초롬바탕" w:hAnsi="함초롬바탕" w:cs="함초롬바탕" w:hint="eastAsia"/>
          <w:sz w:val="30"/>
          <w:rtl w:val="off"/>
        </w:rPr>
      </w:pPr>
      <w:r>
        <w:rPr>
          <w:lang/>
          <w:rFonts w:ascii="함초롬바탕" w:eastAsia="함초롬바탕" w:hAnsi="함초롬바탕" w:cs="함초롬바탕" w:hint="default"/>
          <w:b/>
          <w:sz w:val="44"/>
          <w:rtl w:val="off"/>
        </w:rPr>
        <mc:AlternateContent>
          <mc:Choice Requires="wps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posOffset>18142</wp:posOffset>
                </wp:positionH>
                <wp:positionV relativeFrom="paragraph">
                  <wp:posOffset>67583</wp:posOffset>
                </wp:positionV>
                <wp:extent cx="5460237" cy="97531"/>
                <wp:effectExtent l="0" t="0" r="0" b="0"/>
                <wp:wrapNone/>
                <wp:docPr id="1026" name="shape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TextEdit="1"/>
                      </wps:cNvSpPr>
                      <wps:spPr>
                        <a:xfrm>
                          <a:off x="1098277" y="3881113"/>
                          <a:ext cx="5460237" cy="97531"/>
                        </a:xfrm>
                        <a:prstGeom prst="rect">
                          <a:avLst/>
                        </a:prstGeom>
                        <a:solidFill>
                          <a:srgbClr val="087dbc">
                            <a:alpha val="10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6" style="position:absolute;margin-left:1.4285pt;margin-top:5.3215pt;width:429.94pt;height:7.67961pt;mso-position-horizontal-relative:column;mso-position-vertical-relative:line;v-text-anchor:middle;mso-wrap-style:square;z-index:1895823359" o:allowincell="t" filled="t" fillcolor="#087dbc" strokecolor="#395e8a" strokeweight="1pt">
                <v:stroke joinstyle="round"/>
              </v:rect>
            </w:pict>
          </mc:Fallback>
        </mc:AlternateContent>
      </w:r>
    </w:p>
    <w:p>
      <w:pPr>
        <w:rPr>
          <w:lang w:eastAsia="ko-KR"/>
          <w:rFonts w:ascii="함초롬바탕" w:eastAsia="함초롬바탕" w:hAnsi="함초롬바탕" w:cs="함초롬바탕" w:hint="eastAsia"/>
          <w:sz w:val="30"/>
          <w:rtl w:val="off"/>
        </w:rPr>
      </w:pPr>
    </w:p>
    <w:p>
      <w:pPr>
        <w:jc w:val="right"/>
        <w:rPr>
          <w:rFonts w:ascii="함초롬바탕" w:eastAsia="함초롬바탕" w:hAnsi="함초롬바탕" w:cs="함초롬바탕" w:hint="default"/>
          <w:sz w:val="32"/>
          <w:szCs w:val="32"/>
        </w:rPr>
      </w:pPr>
      <w:r>
        <w:rPr>
          <w:rFonts w:ascii="함초롬바탕" w:eastAsia="함초롬바탕" w:hAnsi="함초롬바탕" w:cs="함초롬바탕" w:hint="default"/>
          <w:sz w:val="32"/>
          <w:szCs w:val="32"/>
        </w:rPr>
        <w:t xml:space="preserve">작성일: </w:t>
      </w:r>
      <w:r>
        <w:rPr>
          <w:lang w:eastAsia="ko-KR"/>
          <w:rFonts w:ascii="함초롬바탕" w:eastAsia="함초롬바탕" w:hAnsi="함초롬바탕" w:cs="함초롬바탕" w:hint="default"/>
          <w:sz w:val="32"/>
          <w:szCs w:val="32"/>
          <w:rtl w:val="off"/>
        </w:rPr>
        <w:t>2025.09.21</w:t>
      </w:r>
    </w:p>
    <w:p>
      <w:pPr>
        <w:jc w:val="right"/>
        <w:rPr>
          <w:lang/>
          <w:rFonts w:ascii="함초롬바탕" w:eastAsia="함초롬바탕" w:hAnsi="함초롬바탕" w:cs="함초롬바탕"/>
          <w:sz w:val="32"/>
          <w:szCs w:val="32"/>
          <w:rtl w:val="off"/>
        </w:rPr>
      </w:pPr>
      <w:r>
        <w:rPr>
          <w:rFonts w:ascii="함초롬바탕" w:eastAsia="함초롬바탕" w:hAnsi="함초롬바탕" w:cs="함초롬바탕" w:hint="default"/>
          <w:sz w:val="32"/>
          <w:szCs w:val="32"/>
        </w:rPr>
        <w:t>작성자: 애널리스트 김현우</w:t>
      </w:r>
    </w:p>
    <w:p>
      <w:pPr>
        <w:jc w:val="right"/>
        <w:rPr>
          <w:lang/>
          <w:rFonts w:ascii="함초롬바탕" w:eastAsia="함초롬바탕" w:hAnsi="함초롬바탕" w:cs="함초롬바탕" w:hint="default"/>
          <w:b w:val="0"/>
          <w:sz w:val="36"/>
          <w:szCs w:val="36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b w:val="0"/>
          <w:sz w:val="32"/>
          <w:szCs w:val="32"/>
          <w:rtl w:val="off"/>
        </w:rPr>
        <w:t xml:space="preserve">Email: </w:t>
      </w:r>
      <w:r>
        <w:rPr>
          <w:rFonts w:ascii="함초롬바탕" w:eastAsia="함초롬바탕" w:hAnsi="함초롬바탕" w:cs="함초롬바탕"/>
          <w:b/>
          <w:sz w:val="32"/>
          <w:szCs w:val="32"/>
          <w:shd w:val="clear" w:color="000000" w:fill="auto"/>
        </w:rPr>
        <w:t>hshw12@gmail.com</w:t>
      </w: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tbl>
      <w:tblPr>
        <w:tblStyle w:val="a0"/>
        <w:tblpPr w:vertAnchor="text" w:horzAnchor="page" w:tblpX="3270" w:tblpY="532"/>
        <w:tblOverlap w:val="never"/>
        <w:tblLook w:val="04A0" w:firstRow="1" w:lastRow="0" w:firstColumn="1" w:lastColumn="0" w:noHBand="0" w:noVBand="1"/>
        <w:tblLayout w:type="autofit"/>
      </w:tblPr>
      <w:tblGrid>
        <w:gridCol w:w="2777"/>
        <w:gridCol w:w="277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  <w:r>
              <w:rPr>
                <w:rFonts w:ascii="함초롬바탕" w:eastAsia="함초롬바탕" w:hAnsi="함초롬바탕" w:cs="함초롬바탕" w:hint="default"/>
              </w:rPr>
              <w:drawing>
                <wp:anchor distT="0" distB="0" distL="0" distR="0" behindDoc="0" locked="0" layoutInCell="1" simplePos="0" relativeHeight="251659264" allowOverlap="1" hidden="0">
                  <wp:simplePos x="0" y="0"/>
                  <wp:positionH relativeFrom="column">
                    <wp:posOffset>445694</wp:posOffset>
                  </wp:positionH>
                  <wp:positionV relativeFrom="paragraph">
                    <wp:posOffset>12737</wp:posOffset>
                  </wp:positionV>
                  <wp:extent cx="762889" cy="924432"/>
                  <wp:effectExtent l="0" t="0" r="0" b="0"/>
                  <wp:wrapSquare wrapText="bothSides"/>
                  <wp:docPr id="1027" name="shape10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" name="shape1027"/>
                          <pic:cNvPicPr>
                            <a:picLocks noUngrp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889" cy="924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  <w:r>
              <w:rPr>
                <w:rFonts w:ascii="함초롬바탕" w:eastAsia="함초롬바탕" w:hAnsi="함초롬바탕" w:cs="함초롬바탕" w:hint="default"/>
                <w:b/>
                <w:sz w:val="44"/>
              </w:rPr>
              <w:t>HS Capital</w:t>
            </w:r>
          </w:p>
        </w:tc>
      </w:tr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77" w:type="dxa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/>
                <w:rFonts w:ascii="함초롬바탕" w:eastAsia="함초롬바탕" w:hAnsi="함초롬바탕" w:cs="함초롬바탕" w:hint="default"/>
                <w:sz w:val="30"/>
                <w:rtl w:val="off"/>
              </w:rPr>
            </w:pPr>
            <w:r>
              <w:rPr>
                <w:rFonts w:ascii="함초롬바탕" w:eastAsia="함초롬바탕" w:hAnsi="함초롬바탕" w:cs="함초롬바탕" w:hint="default"/>
                <w:b/>
                <w:sz w:val="44"/>
              </w:rPr>
              <w:t xml:space="preserve"> Investment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p>
      <w:pPr>
        <w:rPr>
          <w:lang w:eastAsia="ko-KR"/>
          <w:rFonts w:ascii="함초롬바탕" w:eastAsia="함초롬바탕" w:hAnsi="함초롬바탕" w:cs="함초롬바탕" w:hint="eastAsia"/>
          <w:sz w:val="20"/>
          <w:szCs w:val="20"/>
          <w:rtl w:val="off"/>
        </w:rPr>
      </w:pPr>
    </w:p>
    <w:p>
      <w:pPr>
        <w:tabs>
          <w:tab w:val="left" w:pos="540"/>
        </w:tabs>
        <w:rPr>
          <w:caps w:val="off"/>
          <w:lang w:eastAsia="ko-KR"/>
          <w:rFonts w:ascii="함초롬바탕" w:eastAsia="함초롬바탕" w:hAnsi="함초롬바탕" w:cs="함초롬바탕" w:hint="eastAsia"/>
          <w:b w:val="0"/>
          <w:i w:val="0"/>
          <w:sz w:val="22"/>
          <w:szCs w:val="22"/>
          <w:rtl w:val="off"/>
        </w:rPr>
      </w:pPr>
    </w:p>
    <w:p>
      <w:pPr>
        <w:tabs>
          <w:tab w:val="left" w:pos="540"/>
        </w:tabs>
        <w:rPr>
          <w:caps w:val="off"/>
          <w:lang w:eastAsia="ko-KR"/>
          <w:rFonts w:ascii="함초롬바탕" w:eastAsia="함초롬바탕" w:hAnsi="함초롬바탕" w:cs="함초롬바탕" w:hint="eastAsia"/>
          <w:b w:val="0"/>
          <w:i w:val="0"/>
          <w:sz w:val="22"/>
          <w:szCs w:val="22"/>
          <w:rtl w:val="off"/>
        </w:rPr>
      </w:pPr>
      <w:r>
        <w:rPr>
          <w:rFonts w:ascii="함초롬바탕" w:eastAsia="함초롬바탕" w:hAnsi="함초롬바탕" w:cs="함초롬바탕" w:hint="default"/>
          <w:sz w:val="22"/>
          <w:szCs w:val="22"/>
        </w:rPr>
        <w:t>서울특별시 성북구 삼선교로 24길 17</w:t>
      </w:r>
    </w:p>
    <w:p>
      <w:pPr>
        <w:tabs>
          <w:tab w:val="left" w:pos="540"/>
        </w:tabs>
        <w:rPr>
          <w:caps w:val="off"/>
          <w:lang w:eastAsia="ko-KR"/>
          <w:rFonts w:ascii="함초롬바탕" w:eastAsia="함초롬바탕" w:hAnsi="함초롬바탕" w:cs="함초롬바탕" w:hint="eastAsia"/>
          <w:b w:val="0"/>
          <w:i w:val="0"/>
          <w:sz w:val="22"/>
          <w:szCs w:val="22"/>
          <w:rtl w:val="off"/>
        </w:rPr>
      </w:pPr>
    </w:p>
    <w:p>
      <w:pPr>
        <w:pStyle w:val="a1"/>
        <w:ind w:leftChars="0" w:left="800"/>
        <w:jc w:val="center"/>
        <w:tabs>
          <w:tab w:val="right" w:pos="1400" w:leader="middleDot"/>
          <w:tab w:val="right" w:pos="40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4"/>
          <w:szCs w:val="3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44"/>
          <w:szCs w:val="44"/>
          <w:rtl w:val="off"/>
        </w:rPr>
        <w:t>목차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rFonts w:ascii="함초롬바탕" w:eastAsia="함초롬바탕" w:hAnsi="함초롬바탕" w:cs="함초롬바탕" w:hint="default"/>
          <w:sz w:val="30"/>
          <w:szCs w:val="30"/>
        </w:rPr>
        <w:t>기업 개요 및 투자 요</w:t>
      </w: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>약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</w:t>
      </w:r>
    </w:p>
    <w:p>
      <w:pPr>
        <w:pStyle w:val="a1"/>
        <w:numPr>
          <w:ilvl w:val="0"/>
          <w:numId w:val="2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기업 개요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2</w:t>
      </w:r>
    </w:p>
    <w:p>
      <w:pPr>
        <w:pStyle w:val="a1"/>
        <w:numPr>
          <w:ilvl w:val="0"/>
          <w:numId w:val="2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경영진 및 지배 구조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3</w:t>
      </w:r>
    </w:p>
    <w:p>
      <w:pPr>
        <w:pStyle w:val="a1"/>
        <w:numPr>
          <w:ilvl w:val="0"/>
          <w:numId w:val="2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투자 포인트 요약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4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rFonts w:ascii="함초롬바탕" w:eastAsia="함초롬바탕" w:hAnsi="함초롬바탕" w:cs="함초롬바탕" w:hint="default"/>
          <w:sz w:val="30"/>
          <w:szCs w:val="30"/>
        </w:rPr>
        <w:t>사업 및 재무 분석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5</w:t>
      </w:r>
    </w:p>
    <w:p>
      <w:pPr>
        <w:pStyle w:val="a1"/>
        <w:numPr>
          <w:ilvl w:val="0"/>
          <w:numId w:val="3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핵심 사업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6</w:t>
      </w:r>
    </w:p>
    <w:p>
      <w:pPr>
        <w:pStyle w:val="a1"/>
        <w:numPr>
          <w:ilvl w:val="0"/>
          <w:numId w:val="3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재무 성과 및 추이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7</w:t>
      </w:r>
    </w:p>
    <w:p>
      <w:pPr>
        <w:pStyle w:val="a1"/>
        <w:numPr>
          <w:ilvl w:val="0"/>
          <w:numId w:val="3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비용 구조 및 수익성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8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30"/>
          <w:szCs w:val="30"/>
        </w:rPr>
        <w:t>산업 및 시장 동향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9</w:t>
      </w:r>
    </w:p>
    <w:p>
      <w:pPr>
        <w:pStyle w:val="a1"/>
        <w:numPr>
          <w:ilvl w:val="0"/>
          <w:numId w:val="4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시장 규모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4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산업 성장성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10</w:t>
      </w:r>
    </w:p>
    <w:p>
      <w:pPr>
        <w:pStyle w:val="a1"/>
        <w:numPr>
          <w:ilvl w:val="0"/>
          <w:numId w:val="4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경쟁 환경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11</w:t>
      </w:r>
    </w:p>
    <w:p>
      <w:p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30"/>
          <w:szCs w:val="30"/>
        </w:rPr>
        <w:t>리스크 및 기회 요인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12</w:t>
      </w:r>
    </w:p>
    <w:p>
      <w:pPr>
        <w:pStyle w:val="a1"/>
        <w:numPr>
          <w:ilvl w:val="0"/>
          <w:numId w:val="5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주요 리스크 요인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13</w:t>
      </w:r>
    </w:p>
    <w:p>
      <w:pPr>
        <w:pStyle w:val="a1"/>
        <w:numPr>
          <w:ilvl w:val="0"/>
          <w:numId w:val="5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성장 기회 및 미래 전략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14</w:t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>벨류에이션 및 결론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15</w:t>
      </w:r>
    </w:p>
    <w:p>
      <w:pPr>
        <w:pStyle w:val="a1"/>
        <w:numPr>
          <w:ilvl w:val="0"/>
          <w:numId w:val="6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가치 평가 모델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16</w:t>
      </w:r>
    </w:p>
    <w:p>
      <w:pPr>
        <w:pStyle w:val="a1"/>
        <w:numPr>
          <w:ilvl w:val="0"/>
          <w:numId w:val="6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목표 주가 및 투자 의견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17</w:t>
      </w:r>
    </w:p>
    <w:p>
      <w:pPr>
        <w:pStyle w:val="a1"/>
        <w:numPr>
          <w:ilvl w:val="0"/>
          <w:numId w:val="6"/>
        </w:numPr>
        <w:tabs>
          <w:tab w:val="right" w:pos="8600" w:leader="middleDot"/>
        </w:tabs>
        <w:spacing w:line="480"/>
        <w:rPr>
          <w:rFonts w:ascii="함초롬바탕" w:eastAsia="함초롬바탕" w:hAnsi="함초롬바탕" w:cs="함초롬바탕" w:hint="default"/>
          <w:sz w:val="24"/>
          <w:szCs w:val="24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투자 시나리오 분석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</w:p>
    <w:p>
      <w:pPr>
        <w:pStyle w:val="a1"/>
        <w:numPr>
          <w:ilvl w:val="0"/>
          <w:numId w:val="1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30"/>
          <w:szCs w:val="30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30"/>
          <w:szCs w:val="30"/>
        </w:rPr>
        <w:t>부록</w:t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30"/>
          <w:szCs w:val="30"/>
          <w:rtl w:val="off"/>
        </w:rPr>
        <w:t>18</w:t>
      </w:r>
    </w:p>
    <w:p>
      <w:pPr>
        <w:pStyle w:val="a1"/>
        <w:numPr>
          <w:ilvl w:val="0"/>
          <w:numId w:val="7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재무제표 요약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19</w:t>
      </w:r>
    </w:p>
    <w:p>
      <w:pPr>
        <w:pStyle w:val="a1"/>
        <w:numPr>
          <w:ilvl w:val="0"/>
          <w:numId w:val="7"/>
        </w:num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4"/>
          <w:szCs w:val="24"/>
          <w:rtl w:val="off"/>
        </w:rPr>
        <w:t>재무상태표</w:t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ab/>
      </w:r>
      <w: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  <w:t>20</w:t>
      </w: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p>
      <w:pPr>
        <w:tabs>
          <w:tab w:val="right" w:pos="8600" w:leader="middleDot"/>
        </w:tabs>
        <w:spacing w:line="480"/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0"/>
                <w:szCs w:val="30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Ⅰ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0"/>
                <w:szCs w:val="30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0"/>
                <w:szCs w:val="30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 기업 개요 및 투자요약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기업 개요</w:t>
            </w:r>
          </w:p>
        </w:tc>
      </w:tr>
    </w:tbl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기업명: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퓨처배터리 주식회사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대표자: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김도현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사업장: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서울특별시 강남구 테헤란로 427, 퓨처타워 12층 (우편번호 06159)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사업: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전기차 배터리 개발 및 ESS 솔루션 공급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고객사/계약처: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네오전자, 스카이솔루션, 유니텍모터스 등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(모두 가상 기업)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주주 구성: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최대주주: 박성민 12%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재무적 투자자: 블루인베스트파트너스 15%</w:t>
      </w:r>
    </w:p>
    <w:p>
      <w:pPr>
        <w:pStyle w:val="a1"/>
        <w:numPr>
          <w:ilvl w:val="0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사업 규모 (2024년 기준):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매출: 9,500억 원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영업이익: 3,800억 원</w:t>
      </w:r>
    </w:p>
    <w:p>
      <w:pPr>
        <w:pStyle w:val="a1"/>
        <w:numPr>
          <w:ilvl w:val="1"/>
          <w:numId w:val="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직원 수: 680명</w:t>
      </w:r>
    </w:p>
    <w:p>
      <w:pPr>
        <w:spacing w:line="360"/>
        <w:rPr>
          <w:rFonts w:ascii="함초롬바탕" w:eastAsia="함초롬바탕" w:hAnsi="함초롬바탕" w:cs="함초롬바탕" w:hint="default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경영진 및 지배 구조</w:t>
            </w:r>
          </w:p>
        </w:tc>
      </w:tr>
    </w:tbl>
    <w:p>
      <w:pPr>
        <w:ind w:leftChars="0"/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이사회 구성</w:t>
      </w:r>
    </w:p>
    <w:p>
      <w:pPr>
        <w:pStyle w:val="a1"/>
        <w:ind w:leftChars="0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CEO 김도현: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에너지·소재 분야 20년 경력. 퓨처배터리 창업자로서 기업 경영 전반을 총괄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CFO 이지은: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前 브라이트인베스트 전무 출신. 15년 이상의 재무·자본시장 경험을 보유하고 있으며, 회사의 IPO 및 자금 조달 전략을 주도.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CTO 장민석: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前 넥스트셀 연구소 수석연구원. 전고체 배터리 및 차세대 충전 기술 분야에서 다수의 특허를 보유하고 있으며, 회사의 R&amp;D 로드맵을 총괄.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주주 현황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창업주 및 특수관계인: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28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</w:t>
      </w:r>
    </w:p>
    <w:p>
      <w:pPr>
        <w:pStyle w:val="a1"/>
        <w:numPr>
          <w:ilvl w:val="1"/>
          <w:numId w:val="9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전략적 투자자(SI):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22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% 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재무적 투자자(FI):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25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% 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임직원 스톡옵션: 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10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%</w:t>
      </w:r>
    </w:p>
    <w:p>
      <w:pPr>
        <w:pStyle w:val="a1"/>
        <w:numPr>
          <w:ilvl w:val="0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지배 구조 특징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주주 구성은 창업팀과 장기 지향적 투자자가 균형을 이루고 있어, 안정적인 경영권을 확보한 상태.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특정 투자자의 경영 참여를 위한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의결권 차등 구조는 없음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.</w:t>
      </w:r>
    </w:p>
    <w:p>
      <w:pPr>
        <w:pStyle w:val="a1"/>
        <w:numPr>
          <w:ilvl w:val="1"/>
          <w:numId w:val="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경영 투명성 강화를 위해 이사회 내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사외이사 2명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과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감사위원회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를 포함.</w:t>
      </w:r>
    </w:p>
    <w:p>
      <w:pPr>
        <w:pStyle w:val="a1"/>
        <w:numPr>
          <w:ilvl w:val="1"/>
          <w:numId w:val="9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정기적인 내부 감사 및 외부 회계법인 검증 절차를 통해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투명성·책임경영 체계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를 강화.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투자 포인트 요약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퓨처배터리는 이차전지 산업의 핵심 성장 동력을 보유한 중견 선도 기업으로, 독자적인 기술력과 안정적인 사업 구조를 기반으로 높은 투자 매력도를 지니고 있다.</w:t>
      </w:r>
    </w:p>
    <w:p>
      <w:pPr>
        <w:pStyle w:val="a1"/>
        <w:numPr>
          <w:ilvl w:val="0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견조한 성장세: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최근 3년간 매출은 연평균 20% 이상 성장하며 업계 평균을 상회. 이는 시장 내 입지 강화와 함께 안정적인 성장 모멘텀을 보여줌.</w:t>
      </w:r>
    </w:p>
    <w:p>
      <w:pPr>
        <w:pStyle w:val="a1"/>
        <w:numPr>
          <w:ilvl w:val="0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높은 수익성: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2024년 영업이익률은 약 38%로 추정되며, 이는 효율적인 비용 구조와 제품 경쟁력 덕분에 동종 업계 대비 높은 수준을 기록.</w:t>
      </w:r>
    </w:p>
    <w:p>
      <w:pPr>
        <w:pStyle w:val="a1"/>
        <w:numPr>
          <w:ilvl w:val="0"/>
          <w:numId w:val="1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독자적 기술력: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고속 충전 및 장수명 배터리 기술을 확보하여 경쟁사 대비 차별화된 성능 제공. 해당 기술은 향후 전고체 배터리 개발에도 응용 가능해, 장기적으로 시장 진입 장벽을 높이는 핵심 역량이 될 전망.</w:t>
      </w:r>
    </w:p>
    <w:p>
      <w:pPr>
        <w:pStyle w:val="a1"/>
        <w:numPr>
          <w:ilvl w:val="0"/>
          <w:numId w:val="10"/>
        </w:numPr>
        <w:rPr>
          <w:lang/>
          <w:rFonts w:ascii="함초롬바탕" w:eastAsia="함초롬바탕" w:hAnsi="함초롬바탕" w:cs="함초롬바탕"/>
          <w:b w:val="0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안정적 수익 모델: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국내외 완성차 및 전자 부품 기업 등 약 50여 개 고객사와 장기 계약을 체결. 구독형 공급 모델을 통해 안정적인 현금 흐름을 유지하며, 경기 변동에도 흔들리지 않는 사업 구조를 갖춤.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Ⅱ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  <w:shd w:val="clear" w:color="000000" w:fill="aut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사업 및 재무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4"/>
          <w:szCs w:val="24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핵심 사업 부문 분석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퓨처배터리의 핵심 사업은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전기차 배터리 개발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이며, 이를 통해 친환경 에너지 솔루션을 제공하고 있다.</w:t>
      </w:r>
    </w:p>
    <w:p>
      <w:pPr>
        <w:pStyle w:val="a1"/>
        <w:numPr>
          <w:ilvl w:val="0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제품 및 서비스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에코파워셀: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고용량·고출력 특성을 갖춘 배터리로 전기차 주행 거리와 성능을 극대화.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그린파워셀: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장수명·안정성을 강조한 제품으로, 대형 전기버스 및 ESS(에너지저장장치)에 주로 적용.</w:t>
      </w:r>
    </w:p>
    <w:p>
      <w:pPr>
        <w:pStyle w:val="a1"/>
        <w:numPr>
          <w:ilvl w:val="0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경쟁 우위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차별화된 경쟁력: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독자적인 고속 충전 및 장수명 기술을 기반으로 시장 내 독보적인 위치를 확보.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시장 내 입지: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2024년 기준, 국내 이차전지 시장에서 약 15%의 점유율을 기록하며 주요 기업 중 상위권에 위치.</w:t>
      </w:r>
    </w:p>
    <w:p>
      <w:pPr>
        <w:pStyle w:val="a1"/>
        <w:numPr>
          <w:ilvl w:val="0"/>
          <w:numId w:val="1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성장 동력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해외 시장 진출: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아시아와 유럽 전기차 제조사와의 협업을 확대하며 글로벌 시장 경쟁력을 강화.</w:t>
      </w:r>
    </w:p>
    <w:p>
      <w:pPr>
        <w:pStyle w:val="a1"/>
        <w:numPr>
          <w:ilvl w:val="1"/>
          <w:numId w:val="11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신기술 도입: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차세대 전고체 배터리 연구 및 생산 라인 확충을 통해 향후 전기차 배터리 개발·생산의 성장세를 가속화할 전망.</w:t>
      </w:r>
    </w:p>
    <w:p>
      <w:pPr>
        <w:rPr>
          <w:lang w:eastAsia="ko-KR"/>
          <w:rFonts w:ascii="함초롬바탕" w:eastAsia="함초롬바탕" w:hAnsi="함초롬바탕" w:cs="함초롬바탕" w:hint="eastAsia"/>
          <w:sz w:val="24"/>
          <w:szCs w:val="24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재무 성과 및 추이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퓨처배터리은 최근 3년간 지속적인 매출 성장을 기록하며 재무 건전성을 확보.</w:t>
      </w:r>
    </w:p>
    <w:p>
      <w:pPr>
        <w:pStyle w:val="a1"/>
        <w:numPr>
          <w:ilvl w:val="0"/>
          <w:numId w:val="12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 및 영업이익 추이</w:t>
      </w:r>
    </w:p>
    <w:p>
      <w:pPr>
        <w:pStyle w:val="a1"/>
        <w:numPr>
          <w:ilvl w:val="1"/>
          <w:numId w:val="12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최근 3년간 연평균 22%의 성장률을 기록하며 업계 평균을 상회.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특히 2023년에는 신규 고객사 확보와 생산 효율성 개선으로 영업이익이 전년 대비 25% 증가.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2180"/>
        <w:gridCol w:w="2180"/>
        <w:gridCol w:w="218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180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2022년</w:t>
            </w:r>
          </w:p>
        </w:tc>
        <w:tc>
          <w:tcPr>
            <w:tcW w:w="2180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2023년</w:t>
            </w:r>
          </w:p>
        </w:tc>
        <w:tc>
          <w:tcPr>
            <w:tcW w:w="2180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2024년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매출액(억 원)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6,200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8,000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9,800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영업이익(억 원)</w:t>
            </w:r>
          </w:p>
        </w:tc>
        <w:tc>
          <w:tcPr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2,300</w:t>
            </w:r>
          </w:p>
        </w:tc>
        <w:tc>
          <w:tcPr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3,100</w:t>
            </w:r>
          </w:p>
        </w:tc>
        <w:tc>
          <w:tcPr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3,800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순이익(억 원)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1,200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1,700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2,200</w:t>
            </w:r>
          </w:p>
        </w:tc>
      </w:tr>
    </w:tbl>
    <w:p>
      <w:pPr>
        <w:pStyle w:val="a1"/>
        <w:numPr>
          <w:ilvl w:val="0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재무 비율 분석</w:t>
      </w:r>
    </w:p>
    <w:p>
      <w:pPr>
        <w:pStyle w:val="a1"/>
        <w:numPr>
          <w:ilvl w:val="1"/>
          <w:numId w:val="1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수익성 지표: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2024년 기준 ROE(자기자본이익률)는 18%로 업종 평균(15%)을 상회. 순이익률 또한 22%를 기록하며 견조한 수익성을 입증.</w:t>
      </w:r>
    </w:p>
    <w:p>
      <w:pPr>
        <w:pStyle w:val="a1"/>
        <w:numPr>
          <w:ilvl w:val="1"/>
          <w:numId w:val="13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안정성 지표: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부채비율은 68%로 동종 업계 평균(80%) 대비 낮은 수준을 유지. 유동비율은 120%로 단기 지급 능력도 안정적.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비용 구조 및 수익성</w:t>
            </w:r>
          </w:p>
        </w:tc>
      </w:tr>
    </w:tbl>
    <w:p>
      <w:pPr>
        <w:pStyle w:val="a1"/>
        <w:numPr>
          <w:ilvl w:val="0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매출원가 및 판관비 상세 분석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매출원가율: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최근 2년간 57~59% 수준으로 안정적. 이는 원자재 공동 구매와 생산 공정 자동화를 통해 원가 효율성이 개선된 결과.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판매관리비: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판관비는 주로 마케팅 비용(35%)과 R&amp;D 투자(45%)로 구성. 특히 글로벌 고객사 확대를 위한 마케팅 비용은 전년 대비 40% 증가.</w:t>
      </w:r>
    </w:p>
    <w:p>
      <w:pPr>
        <w:pStyle w:val="a1"/>
        <w:numPr>
          <w:ilvl w:val="0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인건비 효율성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2024년 기준, 직원 1인당 평균 매출액은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14억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 업계 평균 대비 1.3배 수준. 이는 높은 생산성과 효율성을 의미.</w:t>
      </w:r>
    </w:p>
    <w:p>
      <w:pPr>
        <w:pStyle w:val="a1"/>
        <w:numPr>
          <w:ilvl w:val="0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손익분기점 분석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퓨처배터리의 손익분기점 매출액은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4,000억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으로, 현재 매출 대비 약 60% 낮은 수준.</w:t>
      </w:r>
    </w:p>
    <w:p>
      <w:pPr>
        <w:pStyle w:val="a1"/>
        <w:numPr>
          <w:ilvl w:val="1"/>
          <w:numId w:val="1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이는 매출이 일시적으로 감소하더라도 안정적인 수익을 유지할 수 있음을 의미.</w:t>
      </w:r>
    </w:p>
    <w:p>
      <w:pPr>
        <w:pStyle w:val="a1"/>
        <w:numPr>
          <w:ilvl w:val="1"/>
          <w:numId w:val="14"/>
        </w:numPr>
        <w:rPr>
          <w:lang w:eastAsia="ko-KR"/>
          <w:rFonts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핵심 제품인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에코파워셀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의 영업이익률은 18%로, 내부 목표치(15%)를 상회.</w:t>
      </w:r>
    </w:p>
    <w:p>
      <w:pPr>
        <w:rPr>
          <w:lang w:eastAsia="ko-KR"/>
          <w:rFonts w:hint="eastAsia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Ⅱ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  <w:shd w:val="clear" w:color="000000" w:fill="aut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산업 및 시장 동향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시장 규모</w:t>
            </w:r>
          </w:p>
        </w:tc>
      </w:tr>
    </w:tbl>
    <w:p>
      <w:pPr>
        <w:pStyle w:val="a1"/>
        <w:numPr>
          <w:ilvl w:val="0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TAM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글로벌 이차전지 전체 시장 규모는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180조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 추정되며, 2023~2026년 동안 연평균 약 18~20%의 성장률을 기록할 것으로 전망된다.</w:t>
      </w:r>
    </w:p>
    <w:p>
      <w:pPr>
        <w:pStyle w:val="a1"/>
        <w:numPr>
          <w:ilvl w:val="0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SAM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퓨처배터리가 실제로 제품과 서비스를 공급할 수 있는 전기차 및 상용차 배터리 시장 규모는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25조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수준으로 추산된다.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이는 주요 자동차 제조사 및 전자부품 업체를 중심으로 형성된 수요를 포함한다.</w:t>
      </w:r>
    </w:p>
    <w:p>
      <w:pPr>
        <w:pStyle w:val="a1"/>
        <w:numPr>
          <w:ilvl w:val="0"/>
          <w:numId w:val="15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SOM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단기적으로 퓨처배터리가 현실적으로 점유 가능한 시장은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1조 2천억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규모로 추정된다.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이는 현재 확보된 국내외 고객사와 계약 물량을 기준으로 한 보수적 추정치이다.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</w:p>
    <w:p>
      <w:pPr>
        <w:pStyle w:val="a1"/>
        <w:numPr>
          <w:ilvl w:val="0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내부 시장 분석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:</w:t>
      </w:r>
    </w:p>
    <w:p>
      <w:pPr>
        <w:pStyle w:val="a1"/>
        <w:numPr>
          <w:ilvl w:val="1"/>
          <w:numId w:val="1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내부 분석에 따르면, 2023~2026년 사이 퓨처배터리가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차세대 리튬이온 및 전고체 배터리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를 시장에 출시할 경우 점유 가능 시장은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2조 원 이상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으로 확대될 전망.</w:t>
      </w:r>
    </w:p>
    <w:p>
      <w:pPr>
        <w:pStyle w:val="a1"/>
        <w:numPr>
          <w:ilvl w:val="1"/>
          <w:numId w:val="15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또한, 경기도에서 진행 중인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스마트 에너지 관리 시스템 프로젝트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에 참여할 경우, ESS(에너지저장장치) 분야에서 추가적으로 점유율을 높여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15% 이상 시장 확대 효과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를 기대할 수 있다.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산업 성장성 분석</w:t>
            </w:r>
          </w:p>
        </w:tc>
      </w:tr>
    </w:tbl>
    <w:p>
      <w:pPr>
        <w:pStyle w:val="a1"/>
        <w:numPr>
          <w:ilvl w:val="0"/>
          <w:numId w:val="1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 혁신: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리튬황 배터리와 같은 차세대 기술의 상용화는 이차전지의 적용 범위를 한층 넓히며, 전기차뿐만 아니라 에너지저장장치(ESS)와 항공 모빌리티 분야로의 확장을 가능하게 한다.</w:t>
      </w:r>
    </w:p>
    <w:p>
      <w:pPr>
        <w:pStyle w:val="a1"/>
        <w:numPr>
          <w:ilvl w:val="0"/>
          <w:numId w:val="1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정책적 지원: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친환경 자동차 보급 확대와 같은 정부의 적극적인 정책은 기업들의 R&amp;D 투자를 촉진하고, 시장 활성화와 기술 경쟁력 제고에 긍정적으로 작용한다.</w:t>
      </w:r>
    </w:p>
    <w:p>
      <w:pPr>
        <w:pStyle w:val="a1"/>
        <w:numPr>
          <w:ilvl w:val="0"/>
          <w:numId w:val="16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수요 변화: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친환경 소비 트렌드 확산과 함께 최종 소비자의 니즈 변화가 가속화되면서, 산업 전반의 성장세에 긍정적인 영향을 미치고 있다.</w:t>
      </w:r>
    </w:p>
    <w:p>
      <w:pPr>
        <w:rPr>
          <w:lang w:eastAsia="ko-KR"/>
          <w:rFonts w:ascii="함초롬바탕" w:eastAsia="함초롬바탕" w:hAnsi="함초롬바탕" w:cs="함초롬바탕" w:hint="eastAsia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경쟁 환경 분석</w:t>
            </w:r>
          </w:p>
        </w:tc>
      </w:tr>
    </w:tbl>
    <w:p>
      <w:pPr>
        <w:tabs>
          <w:tab w:val="left" w:pos="502"/>
        </w:tabs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퓨처배터리은 독점 기술력를 통해 시장 내 독보적인 위치를 확보한다. </w:t>
      </w:r>
    </w:p>
    <w:p>
      <w:pPr>
        <w:ind w:leftChars="0"/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경쟁사 분석</w:t>
      </w:r>
    </w:p>
    <w:p>
      <w:pPr>
        <w:pStyle w:val="a1"/>
        <w:numPr>
          <w:ilvl w:val="0"/>
          <w:numId w:val="17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에코셀텍: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다양한 제품 포트폴리오와 공격적인 마케팅 전략을 강점으로 성장했으나, 최근 원자재 가격 상승과 생산비용 증가로 수익성이 악화되며 점유율이 일부 하락.</w:t>
      </w:r>
    </w:p>
    <w:p>
      <w:pPr>
        <w:pStyle w:val="a1"/>
        <w:numPr>
          <w:ilvl w:val="0"/>
          <w:numId w:val="17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솔라다이나믹스: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가격 경쟁력을 무기로 중국 시장에서 입지를 확대하고 있으나, 브랜드 인지도와 기술 신뢰도 부족으로 글로벌 확장에는 한계가 있음.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경쟁사 지표 비교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470"/>
        <w:gridCol w:w="1890"/>
        <w:gridCol w:w="2180"/>
        <w:gridCol w:w="2180"/>
        <w:gridCol w:w="10"/>
        <w:gridCol w:w="10"/>
        <w:gridCol w:w="10"/>
        <w:gridCol w:w="10"/>
        <w:gridCol w:w="10"/>
        <w:gridCol w:w="10"/>
        <w:gridCol w:w="10"/>
        <w:gridCol w:w="10"/>
        <w:gridCol w:w="10"/>
        <w:gridCol w:w="10"/>
        <w:gridCol w:w="10"/>
        <w:gridCol w:w="10"/>
        <w:gridCol w:w="10"/>
        <w:gridCol w:w="10"/>
        <w:gridCol w:w="10"/>
        <w:gridCol w:w="1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gridAfter w:val="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1890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퓨처배터리</w:t>
            </w:r>
          </w:p>
        </w:tc>
        <w:tc>
          <w:tcPr>
            <w:tcW w:w="2180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에코셀텍</w:t>
            </w:r>
          </w:p>
        </w:tc>
        <w:tc>
          <w:tcPr>
            <w:tcW w:w="2180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솔라다이나믹스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gridAfter w:val="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시장 점유율(%)</w:t>
            </w:r>
          </w:p>
        </w:tc>
        <w:tc>
          <w:tcPr>
            <w:tcW w:w="189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15%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18%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20%</w:t>
            </w:r>
          </w:p>
        </w:tc>
      </w:tr>
      <w:tr>
        <w:trPr>
          <w:gridAfter w:val="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영업이익률(%)</w:t>
            </w:r>
          </w:p>
        </w:tc>
        <w:tc>
          <w:tcPr>
            <w:tcW w:w="189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18%</w:t>
            </w:r>
          </w:p>
        </w:tc>
        <w:tc>
          <w:tcPr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15%</w:t>
            </w:r>
          </w:p>
        </w:tc>
        <w:tc>
          <w:tcPr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12%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gridAfter w:val="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직원 1인당 생산성</w:t>
            </w:r>
          </w:p>
        </w:tc>
        <w:tc>
          <w:tcPr>
            <w:tcW w:w="189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100%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95%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90%</w:t>
            </w:r>
          </w:p>
        </w:tc>
      </w:tr>
      <w:tr>
        <w:trPr>
          <w:gridAfter w:val="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시장 내 입지</w:t>
            </w:r>
          </w:p>
        </w:tc>
        <w:tc>
          <w:tcPr>
            <w:tcW w:w="189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기술 차별화, 안정적 고객 기반</w:t>
            </w:r>
          </w:p>
        </w:tc>
        <w:tc>
          <w:tcPr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마케팅 강세, 비용 부담</w:t>
            </w:r>
          </w:p>
        </w:tc>
        <w:tc>
          <w:tcPr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4"/>
                <w:szCs w:val="24"/>
                <w:u w:color="auto"/>
              </w:rPr>
              <w:t>가격 경쟁력, 브랜드 인지도 약세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내부 경쟁 전략</w:t>
      </w:r>
    </w:p>
    <w:p>
      <w:pPr>
        <w:pStyle w:val="a1"/>
        <w:numPr>
          <w:ilvl w:val="0"/>
          <w:numId w:val="1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내부 분석에 따르면, 에코셀텍은 단기 원가 절감 압박으로 인해 R&amp;D 투자 여력이 줄어들어 향후 1년 내 경쟁력 방어가 어려울 전망.</w:t>
      </w:r>
    </w:p>
    <w:p>
      <w:pPr>
        <w:pStyle w:val="a1"/>
        <w:numPr>
          <w:ilvl w:val="0"/>
          <w:numId w:val="18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퓨처배터리는 차세대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파워셀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출시를 통해 솔라다이나믹스의 핵심 고객군을 공략하며 시장 점유율을 추가 확대할 계획.</w:t>
      </w:r>
    </w:p>
    <w:p>
      <w:pPr>
        <w:pStyle w:val="a1"/>
        <w:numPr>
          <w:ilvl w:val="0"/>
          <w:numId w:val="18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동시에 장기 공급 계약을 통해 안정적 매출 기반을 강화하고, 해외 주요 자동차 제조사와의 협력을 확대할 방침.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Ⅲ</w:t>
            </w: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  <w:shd w:val="clear" w:color="000000" w:fill="auto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 xml:space="preserve"> 리스크 및 기회 요인</w:t>
            </w:r>
          </w:p>
        </w:tc>
      </w:tr>
    </w:tbl>
    <w:p>
      <w:pPr>
        <w:rPr/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주요 리스크 요인</w:t>
            </w:r>
          </w:p>
        </w:tc>
      </w:tr>
    </w:tbl>
    <w:p>
      <w:pPr>
        <w:pStyle w:val="a1"/>
        <w:numPr>
          <w:ilvl w:val="0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경쟁 심화 및 시장 포화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리스크 내용: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이차전지 시장의 급격한 성장은 신규 진입 기업을 늘리고, 특히 대기업의 진출은 퓨처배터리의 시장 점유율에 직접적인 위협이 될 수 있음.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영향: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경쟁 심화로 인한 시장 점유율 하락 및 수익성 약화 가능성.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대응 전략: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독자적 고속 충전 배터리 기술의 특허 포트폴리오를 강화하고, 핵심 고객사와의 장기 계약을 확대하여 경쟁 우위를 유지.</w:t>
      </w:r>
    </w:p>
    <w:p>
      <w:pPr>
        <w:pStyle w:val="a1"/>
        <w:numPr>
          <w:ilvl w:val="0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 변화 및 규제 리스크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리스크 내용: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퓨처배터리의 주력 기술보다 혁신적인 신기술이 등장할 경우 기술 우위 상실 위험이 존재. 또한 데이터 보호 및 개인정보 관련 규제 강화는 솔루션 개발 및 운영에 제약을 줄 수 있음.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영향: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 경쟁력 약화로 인한 매출 감소와 규제 준수 비용 증가 우려.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대응 전략: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R&amp;D 투자를 지속적으로 확대하여 기술 초격차를 유지하고, 법률 전문가와 협력해 규제 변화에 선제적으로 대응.</w:t>
      </w:r>
    </w:p>
    <w:p>
      <w:pPr>
        <w:pStyle w:val="a1"/>
        <w:numPr>
          <w:ilvl w:val="0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주요 고객사 의존도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리스크 내용: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현재 매출의 상당 부분이 소수(5개 내외) 주요 고객사에 집중. 특정 고객사와의 계약 변경이나 해지 시 매출에 직접적인 타격 발생 가능.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영향: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안정적인 수익 구조에 대한 불확실성 증가 및 현금 흐름 악화 위험.</w:t>
      </w:r>
    </w:p>
    <w:p>
      <w:pPr>
        <w:pStyle w:val="a1"/>
        <w:numPr>
          <w:ilvl w:val="1"/>
          <w:numId w:val="19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대응 전략: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신규 고객 확보를 위한 마케팅 활동 강화와 더불어, 미국·유럽 등 해외 시장 다변화를 통해 의존도 분산.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성장 기회 및 미래 전략</w:t>
            </w:r>
          </w:p>
        </w:tc>
      </w:tr>
    </w:tbl>
    <w:p>
      <w:pPr>
        <w:pStyle w:val="a1"/>
        <w:numPr>
          <w:ilvl w:val="0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신규 시장 진출 (CONFIDENTIAL)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전략 내용: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국내 시장에서의 성과를 기반으로 중국 및 동남아 시장 진출을 추진. 해당 지역의 주요 전기차 제조사와 독점적 파트너십을 체결하여 현지 시장을 공략할 계획.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예상 효과: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향후 3년간 중국 시장에서 연평균 18~20% 수준의 매출 성장을 달성하고, 전체 매출의 60% 이상을 해외 시장에서 창출할 것으로 전망.</w:t>
      </w:r>
    </w:p>
    <w:p>
      <w:pPr>
        <w:pStyle w:val="a1"/>
        <w:numPr>
          <w:ilvl w:val="0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제품 포트폴리오 확장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전략 내용: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기존 주력 제품인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에코셀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을 보완할 차세대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파워셀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을 개발 중. 해당 제품은 고효율 에너지 저장 기술을 탑재하며,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1조 5천억 원 규모의 투자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를 진행하여 2024년 6월 출시 예정.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예상 효과: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신규 제품 출시를 통해 시장 지배력을 강화하고, 주요 고객사와의 공급 계약 확대를 통한 안정적 성장 동력 확보.</w:t>
      </w:r>
    </w:p>
    <w:p>
      <w:pPr>
        <w:pStyle w:val="a1"/>
        <w:numPr>
          <w:ilvl w:val="0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전략적 제휴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전략 내용: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글로벌 완성차 기업인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넥스트모터스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(가상 기업)와 전략적 제휴를 논의 중. 양사의 기술력과 영업 네트워크를 결합해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배터리 구독형 서비스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를 공동 개발할 계획.</w:t>
      </w:r>
    </w:p>
    <w:p>
      <w:pPr>
        <w:pStyle w:val="a1"/>
        <w:numPr>
          <w:ilvl w:val="1"/>
          <w:numId w:val="20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예상 효과: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제휴를 통해 시장 내 경쟁 우위를 확보하고, 향후 5년간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1,300억 원 규모의 추가 매출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창출할 것으로 예상.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Ⅳ</w:t>
            </w:r>
            <w:r>
              <w:rPr>
                <w:rFonts w:ascii="HY견명조"/>
                <w:b/>
                <w:color w:val="FFFFFF"/>
                <w:sz w:val="42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>벨류에이션 및 결론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가치 평가 모델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DCF(현금흐름할인법)를 주된 방법론으로 적용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DC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F 모델 핵심 가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정</w:t>
      </w:r>
    </w:p>
    <w:p>
      <w:pPr>
        <w:pStyle w:val="a1"/>
        <w:numPr>
          <w:ilvl w:val="0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매출액 성장률: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향후 5년간은 연평균 20% 내외의 성장세를 이어가되, 이후에는 산업 평균 수준으로 점진적으로 수렴한다고 가정.</w:t>
      </w:r>
    </w:p>
    <w:p>
      <w:pPr>
        <w:pStyle w:val="a1"/>
        <w:numPr>
          <w:ilvl w:val="0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영업이익률: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2024년 기준 18%에서 출발하여 2029년까지 30% 수준으로 개선될 것으로 전망.</w:t>
      </w:r>
    </w:p>
    <w:p>
      <w:pPr>
        <w:pStyle w:val="a1"/>
        <w:numPr>
          <w:ilvl w:val="0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자본적 지출: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향후 5년간 매출액 대비 약 7~8% 수준을 유지.</w:t>
      </w:r>
    </w:p>
    <w:p>
      <w:pPr>
        <w:pStyle w:val="a1"/>
        <w:numPr>
          <w:ilvl w:val="0"/>
          <w:numId w:val="21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할인율: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자본비용과 부채비용을 종합적으로 고려해 가중평균자본비용(WACC)을 8.5%로 적용.</w:t>
      </w:r>
    </w:p>
    <w:p>
      <w:pPr>
        <w:pStyle w:val="a1"/>
        <w:numPr>
          <w:ilvl w:val="0"/>
          <w:numId w:val="21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영구성장률: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장기적인 산업 성장률을 반영해 2%로 설정.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내부 현금흐름 추정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333"/>
        <w:gridCol w:w="1277"/>
        <w:gridCol w:w="1277"/>
        <w:gridCol w:w="1277"/>
        <w:gridCol w:w="1277"/>
        <w:gridCol w:w="127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3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1277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2025</w:t>
            </w:r>
          </w:p>
        </w:tc>
        <w:tc>
          <w:tcPr>
            <w:tcW w:w="1277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2026</w:t>
            </w:r>
          </w:p>
        </w:tc>
        <w:tc>
          <w:tcPr>
            <w:tcW w:w="1277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2027</w:t>
            </w:r>
          </w:p>
        </w:tc>
        <w:tc>
          <w:tcPr>
            <w:tcW w:w="1277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2028</w:t>
            </w:r>
          </w:p>
        </w:tc>
        <w:tc>
          <w:tcPr>
            <w:tcW w:w="1277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2029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3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매출액 (억 원)</w:t>
            </w:r>
          </w:p>
        </w:tc>
        <w:tc>
          <w:tcPr>
            <w:tcW w:w="1277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10,000</w:t>
            </w:r>
          </w:p>
        </w:tc>
        <w:tc>
          <w:tcPr>
            <w:tcW w:w="1277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12,000</w:t>
            </w:r>
          </w:p>
        </w:tc>
        <w:tc>
          <w:tcPr>
            <w:tcW w:w="1277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15,000</w:t>
            </w:r>
          </w:p>
        </w:tc>
        <w:tc>
          <w:tcPr>
            <w:tcW w:w="1277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18,000</w:t>
            </w:r>
          </w:p>
        </w:tc>
        <w:tc>
          <w:tcPr>
            <w:tcW w:w="1277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20,000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3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 (억 원)</w:t>
            </w:r>
          </w:p>
        </w:tc>
        <w:tc>
          <w:tcPr>
            <w:tcW w:w="1277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2,000</w:t>
            </w:r>
          </w:p>
        </w:tc>
        <w:tc>
          <w:tcPr>
            <w:tcW w:w="1277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2,600</w:t>
            </w:r>
          </w:p>
        </w:tc>
        <w:tc>
          <w:tcPr>
            <w:tcW w:w="1277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3,400</w:t>
            </w:r>
          </w:p>
        </w:tc>
        <w:tc>
          <w:tcPr>
            <w:tcW w:w="1277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4,600</w:t>
            </w:r>
          </w:p>
        </w:tc>
        <w:tc>
          <w:tcPr>
            <w:tcW w:w="1277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6,000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3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영업이익률 (%)</w:t>
            </w:r>
          </w:p>
        </w:tc>
        <w:tc>
          <w:tcPr>
            <w:tcW w:w="1277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20%</w:t>
            </w:r>
          </w:p>
        </w:tc>
        <w:tc>
          <w:tcPr>
            <w:tcW w:w="1277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22%</w:t>
            </w:r>
          </w:p>
        </w:tc>
        <w:tc>
          <w:tcPr>
            <w:tcW w:w="1277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23%</w:t>
            </w:r>
          </w:p>
        </w:tc>
        <w:tc>
          <w:tcPr>
            <w:tcW w:w="1277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25%</w:t>
            </w:r>
          </w:p>
        </w:tc>
        <w:tc>
          <w:tcPr>
            <w:tcW w:w="1277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30%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3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영업활동 현금흐름 (억 원)</w:t>
            </w:r>
          </w:p>
        </w:tc>
        <w:tc>
          <w:tcPr>
            <w:tcW w:w="1277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2,500</w:t>
            </w:r>
          </w:p>
        </w:tc>
        <w:tc>
          <w:tcPr>
            <w:tcW w:w="1277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2,700</w:t>
            </w:r>
          </w:p>
        </w:tc>
        <w:tc>
          <w:tcPr>
            <w:tcW w:w="1277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2,900</w:t>
            </w:r>
          </w:p>
        </w:tc>
        <w:tc>
          <w:tcPr>
            <w:tcW w:w="1277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3,200</w:t>
            </w:r>
          </w:p>
        </w:tc>
        <w:tc>
          <w:tcPr>
            <w:tcW w:w="1277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3,500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3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투자활동 현금흐름 (억 원)</w:t>
            </w:r>
          </w:p>
        </w:tc>
        <w:tc>
          <w:tcPr>
            <w:tcW w:w="1277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-1,200</w:t>
            </w:r>
          </w:p>
        </w:tc>
        <w:tc>
          <w:tcPr>
            <w:tcW w:w="1277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-1,500</w:t>
            </w:r>
          </w:p>
        </w:tc>
        <w:tc>
          <w:tcPr>
            <w:tcW w:w="1277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-1,800</w:t>
            </w:r>
          </w:p>
        </w:tc>
        <w:tc>
          <w:tcPr>
            <w:tcW w:w="1277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-2,000</w:t>
            </w:r>
          </w:p>
        </w:tc>
        <w:tc>
          <w:tcPr>
            <w:tcW w:w="1277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-2,200</w:t>
            </w:r>
          </w:p>
        </w:tc>
      </w:tr>
    </w:tbl>
    <w:p>
      <w:pPr>
        <w:rPr/>
      </w:pPr>
    </w:p>
    <w:p>
      <w:pPr>
        <w:rPr/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목표 주가 및 투자 의견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>가치 평가 결과</w:t>
      </w:r>
    </w:p>
    <w:p>
      <w:pPr>
        <w:pStyle w:val="a1"/>
        <w:numPr>
          <w:ilvl w:val="0"/>
          <w:numId w:val="22"/>
        </w:numPr>
        <w:rPr>
          <w:rFonts w:ascii="함초롬바탕" w:eastAsia="함초롬바탕" w:hAnsi="함초롬바탕" w:cs="함초롬바탕" w:hint="default"/>
          <w:b w:val="0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DCF 모델을 기반으로 산출한 퓨처배터리의 내재가치는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4,500억 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으로 평가된다. 발행 주식수(5,000,000주)를 기준으로 산출된 목표 주가는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60,000원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이며, 이는 현재 주가(45,000원) 대비 약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33%의 상승 여력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보유하고 있다.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경쟁사 밸류에이션 비교</w:t>
      </w:r>
    </w:p>
    <w:p>
      <w:pPr>
        <w:pStyle w:val="a1"/>
        <w:numPr>
          <w:ilvl w:val="0"/>
          <w:numId w:val="23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퓨처배터리의 밸류에이션 적정성을 검토하기 위해 주요 경쟁사들과 주요 지표를 비교하였다.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470"/>
        <w:gridCol w:w="1890"/>
        <w:gridCol w:w="2180"/>
        <w:gridCol w:w="2180"/>
        <w:gridCol w:w="10"/>
        <w:gridCol w:w="10"/>
        <w:gridCol w:w="10"/>
        <w:gridCol w:w="10"/>
        <w:gridCol w:w="10"/>
        <w:gridCol w:w="10"/>
        <w:gridCol w:w="10"/>
        <w:gridCol w:w="10"/>
        <w:gridCol w:w="10"/>
        <w:gridCol w:w="10"/>
        <w:gridCol w:w="10"/>
        <w:gridCol w:w="1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gridAfter w:val="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1890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퓨처배터리</w:t>
            </w:r>
          </w:p>
        </w:tc>
        <w:tc>
          <w:tcPr>
            <w:tcW w:w="2180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에코셀텍</w:t>
            </w:r>
          </w:p>
        </w:tc>
        <w:tc>
          <w:tcPr>
            <w:tcW w:w="2180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솔라다이나믹</w:t>
            </w:r>
            <w:r>
              <w:rPr>
                <w:lang w:eastAsia="ko-KR"/>
                <w:rFonts w:ascii="함초롬바탕" w:eastAsia="함초롬바탕" w:hAnsi="함초롬바탕" w:cs="함초롬바탕" w:hint="default"/>
                <w:sz w:val="28"/>
                <w:szCs w:val="28"/>
                <w:u w:color="auto"/>
                <w:rtl w:val="off"/>
              </w:rPr>
              <w:t>스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gridAfter w:val="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주가수익비율 (PER)</w:t>
            </w:r>
          </w:p>
        </w:tc>
        <w:tc>
          <w:tcPr>
            <w:tcW w:w="189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b w:val="0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12배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15배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18배</w:t>
            </w:r>
          </w:p>
        </w:tc>
      </w:tr>
      <w:tr>
        <w:trPr>
          <w:gridAfter w:val="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주가매출비율 (PSR)</w:t>
            </w:r>
          </w:p>
        </w:tc>
        <w:tc>
          <w:tcPr>
            <w:tcW w:w="189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 w:val="0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2.8배</w:t>
            </w:r>
          </w:p>
        </w:tc>
        <w:tc>
          <w:tcPr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3.5배</w:t>
            </w:r>
          </w:p>
        </w:tc>
        <w:tc>
          <w:tcPr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4.2배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gridAfter w:val="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기업가치/EBITDA (EV/EBITDA)</w:t>
            </w:r>
          </w:p>
        </w:tc>
        <w:tc>
          <w:tcPr>
            <w:tcW w:w="189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b w:val="0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9배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11배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13배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퓨처배터리에 대한 투자 의견은 매수(BUY)를 유지한다. 이는 견조한 실적 성장, 기술 경쟁력, 안정적인 고객사 기반, 그리고 경쟁사 대비 매력적인 밸류에이션을 종합적으로 고려한 결과이다.</w:t>
      </w:r>
    </w:p>
    <w:p>
      <w:pPr>
        <w:tabs>
          <w:tab w:val="left" w:pos="2732"/>
        </w:tabs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의견 근거</w:t>
      </w:r>
    </w:p>
    <w:p>
      <w:pPr>
        <w:pStyle w:val="a1"/>
        <w:numPr>
          <w:ilvl w:val="0"/>
          <w:numId w:val="2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성장 모멘텀 확보: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해외 시장 진출과 파워셀 출시를 통해 중장기적인 성장 동력을 확보.</w:t>
      </w:r>
    </w:p>
    <w:p>
      <w:pPr>
        <w:pStyle w:val="a1"/>
        <w:numPr>
          <w:ilvl w:val="0"/>
          <w:numId w:val="24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기술적 해자: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독자적 고속 충전 및 장수명 배터리 기술을 통해 경쟁사 대비 확실한 차별화 확보.</w:t>
      </w:r>
    </w:p>
    <w:p>
      <w:pPr>
        <w:pStyle w:val="a1"/>
        <w:numPr>
          <w:ilvl w:val="0"/>
          <w:numId w:val="24"/>
        </w:num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재무 안정성: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매출 및 영업이익의 꾸준한 증가세를 통해 외부 충격에도 흔들리지 않는 안정적인 재무 구조를 유지.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3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투자 시나리오 분석</w:t>
            </w:r>
          </w:p>
        </w:tc>
      </w:tr>
    </w:tbl>
    <w:p>
      <w:pPr>
        <w:rPr/>
      </w:pPr>
      <w:r>
        <w:rPr>
          <w:rFonts w:ascii="함초롬바탕" w:eastAsia="함초롬바탕" w:hAnsi="함초롬바탕" w:cs="함초롬바탕" w:hint="default"/>
          <w:sz w:val="28"/>
          <w:szCs w:val="28"/>
        </w:rPr>
        <w:t xml:space="preserve">가정 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Base Case: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퓨처배터리가 현재의 성장 전략을 계획대로 실행하고, 시장 환경이 안정적으로 유지되는 경우.</w:t>
      </w:r>
    </w:p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Bull Case: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차세대 파워셀 기술이 예상보다 빠르게 시장에 안착하고, 해외 파트너십 및 산학 협력이 성공적으로 추진되는 경우.</w:t>
      </w:r>
    </w:p>
    <w:p>
      <w:pPr>
        <w:rPr>
          <w:rFonts w:ascii="함초롬바탕" w:eastAsia="함초롬바탕" w:hAnsi="함초롬바탕" w:cs="함초롬바탕" w:hint="default"/>
          <w:b w:val="0"/>
          <w:sz w:val="28"/>
          <w:szCs w:val="28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Bear Case: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경쟁사의 공격적인 진입과 주요 고객사 재계약 실패로 성장 전략이 차질을 빚는 경우.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</w:rPr>
        <w:t>시나리오별 핵심 가정 및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</w:rPr>
        <w:t>예상 목표 주가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659"/>
        <w:gridCol w:w="1925"/>
        <w:gridCol w:w="1925"/>
        <w:gridCol w:w="192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9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1925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Base Case</w:t>
            </w:r>
          </w:p>
        </w:tc>
        <w:tc>
          <w:tcPr>
            <w:tcW w:w="1925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Bull Case</w:t>
            </w:r>
          </w:p>
        </w:tc>
        <w:tc>
          <w:tcPr>
            <w:tcW w:w="1925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Bear Case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9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매출액 성장률</w:t>
            </w:r>
          </w:p>
        </w:tc>
        <w:tc>
          <w:tcPr>
            <w:tcW w:w="1925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연평균 12% 성장</w:t>
            </w:r>
          </w:p>
        </w:tc>
        <w:tc>
          <w:tcPr>
            <w:tcW w:w="1925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연평균 15% 성장</w:t>
            </w:r>
          </w:p>
        </w:tc>
        <w:tc>
          <w:tcPr>
            <w:tcW w:w="1925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연평균 8% 성장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9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영업이익률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18% 유지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20%까지 개선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15%로 하락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9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예상 EBITDA(억 원)</w:t>
            </w:r>
          </w:p>
        </w:tc>
        <w:tc>
          <w:tcPr>
            <w:tcW w:w="1925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1,800</w:t>
            </w:r>
          </w:p>
        </w:tc>
        <w:tc>
          <w:tcPr>
            <w:tcW w:w="1925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2,200</w:t>
            </w:r>
          </w:p>
        </w:tc>
        <w:tc>
          <w:tcPr>
            <w:tcW w:w="1925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1,200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9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예상 순이익(억 원)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900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1,300</w:t>
            </w:r>
          </w:p>
        </w:tc>
        <w:tc>
          <w:tcPr>
            <w:tcW w:w="1925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600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59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예상 목표 주가</w:t>
            </w:r>
          </w:p>
        </w:tc>
        <w:tc>
          <w:tcPr>
            <w:tcW w:w="1925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60,000원</w:t>
            </w:r>
          </w:p>
        </w:tc>
        <w:tc>
          <w:tcPr>
            <w:tcW w:w="1925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75,000원</w:t>
            </w:r>
          </w:p>
        </w:tc>
        <w:tc>
          <w:tcPr>
            <w:tcW w:w="1925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40,000원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시나리오별 상세 분석</w:t>
      </w:r>
    </w:p>
    <w:p>
      <w:pPr>
        <w:pStyle w:val="a1"/>
        <w:numPr>
          <w:ilvl w:val="0"/>
          <w:numId w:val="2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Base Case: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퓨처배터리는 안정적인 수익 구조와 고객 기반을 통해 재무 건전성을 유지하며, 현재 주가는 여전히 내재가치 대비 저평가 상태로 판단됨.</w:t>
      </w:r>
    </w:p>
    <w:p>
      <w:pPr>
        <w:pStyle w:val="a1"/>
        <w:numPr>
          <w:ilvl w:val="0"/>
          <w:numId w:val="25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Bull Case: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파워셀의 성공적인 시장 안착과 해외 진출 가속화로 추가 매출이 발생, 유럽 시장 점유율 확대가 목표 주가를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75,000원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까지 견인하는 주요 요인으로 작용.</w:t>
      </w:r>
    </w:p>
    <w:p>
      <w:pPr>
        <w:pStyle w:val="a1"/>
        <w:numPr>
          <w:ilvl w:val="0"/>
          <w:numId w:val="25"/>
        </w:numPr>
        <w:rPr>
          <w:lang/>
          <w:rFonts w:ascii="함초롬바탕" w:eastAsia="함초롬바탕" w:hAnsi="함초롬바탕" w:cs="함초롬바탕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Bear Case: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일부 주요 고객사와의 재계약 불발 및 경쟁사의 저가 공세로 매출 손실 발생, 영업이익률 하락으로 목표 주가가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40,000원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수준으로 하락할 수 있는 리스크 존재.</w:t>
      </w:r>
    </w:p>
    <w:p>
      <w:pPr>
        <w:rPr>
          <w:lang/>
          <w:rFonts w:ascii="함초롬바탕" w:eastAsia="함초롬바탕" w:hAnsi="함초롬바탕" w:cs="함초롬바탕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4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결론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종합적으로 볼 때 퓨처배터리는 이차전지 시장에서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기술 경쟁력과 안정적 고객 기반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보유한 선도</w:t>
      </w:r>
      <w:r>
        <w:rPr>
          <w:lang w:eastAsia="ko-KR"/>
          <w:rFonts w:ascii="함초롬바탕" w:eastAsia="함초롬바탕" w:hAnsi="함초롬바탕" w:cs="함초롬바탕" w:hint="default"/>
          <w:sz w:val="28"/>
          <w:szCs w:val="28"/>
          <w:u w:color="auto"/>
          <w:rtl w:val="off"/>
        </w:rPr>
        <w:t xml:space="preserve">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기업이다.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현재 밸류에이션은 내재가치 대비 여전히 저평가되어 있으며,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ESS 및 해외 시장 확대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와 같은 신규 성장 동력이 기업 가치를 재평가받는 계기가 될 전망이다.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br/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 xml:space="preserve">단기적인 시장 변동성은 존재하지만, 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경영진의 전문성과 장기적 성장 전략</w:t>
      </w: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을 고려할 때 이는 충분히 극복 가능한 수준으로 판단된다.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rtl w:val="off"/>
        </w:rPr>
      </w:pPr>
    </w:p>
    <w:tbl>
      <w:tblPr>
        <w:tblStyle w:val="a0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jc w:val="center"/>
        <w:tblLayout w:type="autofit"/>
      </w:tblPr>
      <w:tblGrid>
        <w:gridCol w:w="927"/>
        <w:gridCol w:w="216"/>
        <w:gridCol w:w="771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3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dxa"/>
            <w:tcBorders>
              <w:tl2br w:val="none"/>
              <w:tr2bl w:val="none"/>
            </w:tcBorders>
            <w:shd w:val="clear" w:color="auto" w:fill="C7D3F1"/>
          </w:tcPr>
          <w:p>
            <w:pPr>
              <w:jc w:val="center"/>
              <w:tabs>
                <w:tab w:val="left" w:pos="1841"/>
              </w:tabs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rFonts w:ascii="함초롬바탕" w:eastAsia="함초롬바탕" w:hAnsi="함초롬바탕" w:cs="함초롬바탕"/>
                <w:b/>
                <w:color w:val="FFFFFF"/>
                <w:sz w:val="38"/>
                <w:szCs w:val="38"/>
              </w:rPr>
              <w:t>Ⅴ</w:t>
            </w:r>
            <w:r>
              <w:rPr>
                <w:rFonts w:ascii="HY견명조"/>
                <w:b/>
                <w:color w:val="FFFFFF"/>
                <w:sz w:val="42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6" w:type="dxa"/>
            <w:tcBorders>
              <w:right w:val="nil"/>
              <w:tl2br w:val="none"/>
              <w:tr2bl w:val="none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</w:p>
        </w:tc>
        <w:tc>
          <w:tcPr>
            <w:cnfStyle w:val="000101000000" w:firstRow="0" w:lastRow="0" w:firstColumn="0" w:lastColumn="1" w:oddVBand="0" w:evenVBand="1" w:oddHBand="0" w:evenHBand="0" w:firstRowFirstColumn="0" w:firstRowLastColumn="0" w:lastRowFirstColumn="0" w:lastRowLastColumn="0"/>
            <w:tcW w:w="771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C7D3F1"/>
          </w:tcPr>
          <w:p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jc w:val="left"/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</w:pPr>
            <w:r>
              <w:rPr>
                <w:lang w:eastAsia="ko-KR"/>
                <w:rFonts w:ascii="함초롬바탕" w:eastAsia="함초롬바탕" w:hAnsi="함초롬바탕" w:cs="함초롬바탕" w:hint="eastAsia"/>
                <w:color w:val="FFFFFF"/>
                <w:sz w:val="38"/>
                <w:szCs w:val="38"/>
                <w:rtl w:val="off"/>
              </w:rPr>
              <w:t>부록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1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재무제표 요약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아래 재무제표는 퓨처배터리의 최근 3년간의 주요 재무 상태를 요약한 것이다.</w:t>
      </w:r>
    </w:p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  <w:t>손익계산서 (단위: 억 원)</w:t>
      </w:r>
    </w:p>
    <w:tbl>
      <w:tblPr>
        <w:tblStyle w:val="b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2180"/>
        <w:gridCol w:w="2180"/>
        <w:gridCol w:w="218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tcW w:w="2180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2022년</w:t>
            </w:r>
          </w:p>
        </w:tc>
        <w:tc>
          <w:tcPr>
            <w:tcW w:w="2180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2023년</w:t>
            </w:r>
          </w:p>
        </w:tc>
        <w:tc>
          <w:tcPr>
            <w:tcW w:w="2180" w:type="dxa"/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2024년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매출액(억 원)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6,200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8,000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9,800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영업이익(억 원)</w:t>
            </w:r>
          </w:p>
        </w:tc>
        <w:tc>
          <w:tcPr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2,300</w:t>
            </w:r>
          </w:p>
        </w:tc>
        <w:tc>
          <w:tcPr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3,100</w:t>
            </w:r>
          </w:p>
        </w:tc>
        <w:tc>
          <w:tcPr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3,800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순이익(억 원)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1,200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1,700</w:t>
            </w:r>
          </w:p>
        </w:tc>
        <w:tc>
          <w:tcPr>
            <w:tcW w:w="2180" w:type="dxa"/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2,200</w:t>
            </w:r>
          </w:p>
        </w:tc>
      </w:tr>
    </w:tbl>
    <w:p>
      <w:pP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</w:pPr>
      <w:r>
        <w:rPr>
          <w:lang w:eastAsia="ko-KR"/>
          <w:rFonts w:ascii="함초롬바탕" w:eastAsia="함초롬바탕" w:hAnsi="함초롬바탕" w:cs="함초롬바탕" w:hint="eastAsia"/>
          <w:sz w:val="28"/>
          <w:szCs w:val="28"/>
          <w:u w:color="auto"/>
          <w:rtl w:val="off"/>
        </w:rPr>
        <w:t>재무상태표 (단위: 억 원)</w:t>
      </w:r>
    </w:p>
    <w:tbl>
      <w:tblPr>
        <w:tblStyle w:val="b0"/>
        <w:tblW w:w="8840" w:type="dxa"/>
        <w:tblLook w:val="04A0" w:firstRow="1" w:lastRow="0" w:firstColumn="1" w:lastColumn="0" w:noHBand="0" w:noVBand="1"/>
        <w:jc w:val="center"/>
        <w:tblCellMar>
          <w:top w:w="0" w:type="dxa"/>
          <w:left w:w="0" w:type="dxa"/>
          <w:bottom w:w="0" w:type="dxa"/>
          <w:right w:w="0" w:type="dxa"/>
        </w:tblCellMar>
      </w:tblPr>
      <w:tblGrid>
        <w:gridCol w:w="2180"/>
        <w:gridCol w:w="2180"/>
        <w:gridCol w:w="2180"/>
        <w:gridCol w:w="2180"/>
        <w:gridCol w:w="10"/>
        <w:gridCol w:w="10"/>
        <w:gridCol w:w="10"/>
        <w:gridCol w:w="10"/>
        <w:gridCol w:w="10"/>
        <w:gridCol w:w="10"/>
        <w:gridCol w:w="10"/>
        <w:gridCol w:w="10"/>
        <w:gridCol w:w="10"/>
        <w:gridCol w:w="10"/>
        <w:gridCol w:w="10"/>
        <w:gridCol w:w="1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구분</w:t>
            </w:r>
          </w:p>
        </w:tc>
        <w:tc>
          <w:tcPr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2022년</w:t>
            </w:r>
          </w:p>
        </w:tc>
        <w:tc>
          <w:tcPr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2023년</w:t>
            </w:r>
          </w:p>
        </w:tc>
        <w:tc>
          <w:tcPr>
            <w:vAlign w:val="center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2024년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자산총계</w:t>
            </w:r>
          </w:p>
        </w:tc>
        <w:tc>
          <w:tcPr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12,000</w:t>
            </w:r>
          </w:p>
        </w:tc>
        <w:tc>
          <w:tcPr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18,000</w:t>
            </w:r>
          </w:p>
        </w:tc>
        <w:tc>
          <w:tcPr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23,500</w:t>
            </w:r>
          </w:p>
        </w:tc>
      </w:tr>
      <w:tr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부채총계</w:t>
            </w:r>
          </w:p>
        </w:tc>
        <w:tc>
          <w:tcPr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4,500</w:t>
            </w:r>
          </w:p>
        </w:tc>
        <w:tc>
          <w:tcPr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7,000</w:t>
            </w:r>
          </w:p>
        </w:tc>
        <w:tc>
          <w:tcPr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9,500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vAlign w:val="center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자본총계</w:t>
            </w:r>
          </w:p>
        </w:tc>
        <w:tc>
          <w:tcPr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7,500</w:t>
            </w:r>
          </w:p>
        </w:tc>
        <w:tc>
          <w:tcPr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11,000</w:t>
            </w:r>
          </w:p>
        </w:tc>
        <w:tc>
          <w:tcPr>
            <w:vAlign w:val="center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jc w:val="center"/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</w:pPr>
            <w:r>
              <w:rPr>
                <w:rFonts w:ascii="함초롬바탕" w:eastAsia="함초롬바탕" w:hAnsi="함초롬바탕" w:cs="함초롬바탕" w:hint="default"/>
                <w:sz w:val="28"/>
                <w:szCs w:val="28"/>
                <w:u w:color="auto"/>
              </w:rPr>
              <w:t>14,000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</w:rPr>
      </w:pPr>
    </w:p>
    <w:tbl>
      <w:tblPr>
        <w:tblStyle w:val="a0"/>
        <w:tblBorders>
          <w:top w:val="none"/>
          <w:left w:val="none"/>
          <w:bottom w:val="single" w:sz="4" w:space="0" w:color="auto"/>
          <w:right w:val="none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Layout w:type="autofit"/>
      </w:tblPr>
      <w:tblGrid>
        <w:gridCol w:w="687"/>
        <w:gridCol w:w="8169"/>
      </w:tblGrid>
      <w:tr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dk1"/>
          </w:tcPr>
          <w:p>
            <w:pPr>
              <w:jc w:val="center"/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>2</w:t>
            </w:r>
          </w:p>
        </w:tc>
        <w:tc>
          <w:tcPr>
            <w:tcW w:w="8169" w:type="dxa"/>
            <w:tcBorders>
              <w:left w:val="single" w:sz="4" w:space="0" w:color="auto"/>
            </w:tcBorders>
          </w:tcPr>
          <w:p>
            <w:pPr>
              <w:rPr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</w:rPr>
            </w:pPr>
            <w:r>
              <w:rPr>
                <w:lang w:eastAsia="ko-KR"/>
                <w:rFonts w:ascii="함초롬바탕" w:eastAsia="함초롬바탕" w:hAnsi="함초롬바탕" w:cs="함초롬바탕" w:hint="default"/>
                <w:b/>
                <w:bCs/>
                <w:sz w:val="32"/>
                <w:szCs w:val="32"/>
                <w:rtl w:val="off"/>
              </w:rPr>
              <w:t xml:space="preserve">  참고 자료 및 데이터 출처</w:t>
            </w:r>
          </w:p>
        </w:tc>
      </w:tr>
    </w:tbl>
    <w:p>
      <w:p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본 보고서 작성에 활용된 주요 자료 및 데이터 출처는 아래와 같다.</w:t>
      </w:r>
    </w:p>
    <w:p>
      <w:pPr>
        <w:pStyle w:val="a1"/>
        <w:numPr>
          <w:ilvl w:val="0"/>
          <w:numId w:val="2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퓨처배터리 정기보고서 및 내부 공시자료</w:t>
      </w:r>
    </w:p>
    <w:p>
      <w:pPr>
        <w:pStyle w:val="a1"/>
        <w:numPr>
          <w:ilvl w:val="0"/>
          <w:numId w:val="2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글로벌 배터리·에너지 시장 조사 리포트</w:t>
      </w:r>
    </w:p>
    <w:p>
      <w:pPr>
        <w:pStyle w:val="a1"/>
        <w:numPr>
          <w:ilvl w:val="0"/>
          <w:numId w:val="26"/>
        </w:numPr>
        <w:rPr>
          <w:rFonts w:ascii="함초롬바탕" w:eastAsia="함초롬바탕" w:hAnsi="함초롬바탕" w:cs="함초롬바탕" w:hint="default"/>
          <w:sz w:val="28"/>
          <w:szCs w:val="28"/>
          <w:u w:color="auto"/>
        </w:r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한국기업분석센터 제공 재무 데이터</w:t>
      </w:r>
    </w:p>
    <w:p>
      <w:pPr>
        <w:pStyle w:val="a1"/>
        <w:numPr>
          <w:ilvl w:val="0"/>
          <w:numId w:val="26"/>
        </w:numPr>
      </w:pPr>
      <w:r>
        <w:rPr>
          <w:rFonts w:ascii="함초롬바탕" w:eastAsia="함초롬바탕" w:hAnsi="함초롬바탕" w:cs="함초롬바탕" w:hint="default"/>
          <w:sz w:val="28"/>
          <w:szCs w:val="28"/>
          <w:u w:color="auto"/>
        </w:rPr>
        <w:t>산업 관련 학술 논문 및 시장 동향 보고서</w:t>
      </w:r>
    </w:p>
    <w:sectPr>
      <w:pgSz w:w="11906" w:h="16838"/>
      <w:pgMar w:top="1985" w:right="1701" w:bottom="1701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HY견명조">
    <w:panose1 w:val="02030600000101010101"/>
    <w:family w:val="HYMyeongJo-Extra"/>
    <w:charset w:val="00"/>
    <w:notTrueType w:val="false"/>
    <w:sig w:usb0="7FFFFFFF" w:usb1="29D77CF9" w:usb2="00000010" w:usb3="00000001" w:csb0="00080000" w:csb1="00000001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b60"/>
    <w:multiLevelType w:val="hybridMultilevel"/>
    <w:lvl w:ilvl="0" w:tplc="4090013">
      <w:start w:val="1"/>
      <w:numFmt w:val="upperRoman"/>
      <w:lvlText w:val="%1."/>
      <w:lvlJc w:val="left"/>
      <w:pPr>
        <w:ind w:left="8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200" w:right="0" w:hanging="400"/>
      </w:pPr>
      <w:rPr/>
    </w:lvl>
    <w:lvl w:ilvl="2" w:tplc="409001b">
      <w:start w:val="1"/>
      <w:numFmt w:val="lowerRoman"/>
      <w:lvlText w:val="%3."/>
      <w:lvlJc w:val="left"/>
      <w:pPr>
        <w:ind w:left="1600" w:right="0" w:hanging="400"/>
      </w:pPr>
      <w:rPr/>
    </w:lvl>
    <w:lvl w:ilvl="3" w:tplc="409000f">
      <w:start w:val="1"/>
      <w:lvlText w:val="%4."/>
      <w:lvlJc w:val="left"/>
      <w:pPr>
        <w:ind w:left="20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400" w:right="0" w:hanging="400"/>
      </w:pPr>
      <w:rPr/>
    </w:lvl>
    <w:lvl w:ilvl="5" w:tplc="409001b">
      <w:start w:val="1"/>
      <w:numFmt w:val="lowerRoman"/>
      <w:lvlText w:val="%6."/>
      <w:lvlJc w:val="left"/>
      <w:pPr>
        <w:ind w:left="2800" w:right="0" w:hanging="400"/>
      </w:pPr>
      <w:rPr/>
    </w:lvl>
    <w:lvl w:ilvl="6" w:tplc="409000f">
      <w:start w:val="1"/>
      <w:lvlText w:val="%7."/>
      <w:lvlJc w:val="left"/>
      <w:pPr>
        <w:ind w:left="32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6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000" w:right="0" w:hanging="400"/>
      </w:pPr>
      <w:rPr/>
    </w:lvl>
  </w:abstractNum>
  <w:abstractNum w:abstractNumId="1">
    <w:nsid w:val="fffeff40"/>
    <w:multiLevelType w:val="hybridMultilevel"/>
    <w:lvl w:ilvl="0" w:tplc="409000f">
      <w:start w:val="1"/>
      <w:lvlText w:val="%1."/>
      <w:lvlJc w:val="left"/>
      <w:pPr>
        <w:ind w:left="112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520" w:right="0" w:hanging="400"/>
      </w:pPr>
      <w:rPr/>
    </w:lvl>
    <w:lvl w:ilvl="2" w:tplc="409001b">
      <w:start w:val="1"/>
      <w:numFmt w:val="lowerRoman"/>
      <w:lvlText w:val="%3."/>
      <w:lvlJc w:val="left"/>
      <w:pPr>
        <w:ind w:left="1920" w:right="0" w:hanging="400"/>
      </w:pPr>
      <w:rPr/>
    </w:lvl>
    <w:lvl w:ilvl="3" w:tplc="409000f">
      <w:start w:val="1"/>
      <w:lvlText w:val="%4."/>
      <w:lvlJc w:val="left"/>
      <w:pPr>
        <w:ind w:left="232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720" w:right="0" w:hanging="400"/>
      </w:pPr>
      <w:rPr/>
    </w:lvl>
    <w:lvl w:ilvl="5" w:tplc="409001b">
      <w:start w:val="1"/>
      <w:numFmt w:val="lowerRoman"/>
      <w:lvlText w:val="%6."/>
      <w:lvlJc w:val="left"/>
      <w:pPr>
        <w:ind w:left="3120" w:right="0" w:hanging="400"/>
      </w:pPr>
      <w:rPr/>
    </w:lvl>
    <w:lvl w:ilvl="6" w:tplc="409000f">
      <w:start w:val="1"/>
      <w:lvlText w:val="%7."/>
      <w:lvlJc w:val="left"/>
      <w:pPr>
        <w:ind w:left="352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920" w:right="0" w:hanging="400"/>
      </w:pPr>
      <w:rPr/>
    </w:lvl>
    <w:lvl w:ilvl="8" w:tplc="409001b">
      <w:start w:val="1"/>
      <w:numFmt w:val="lowerRoman"/>
      <w:lvlText w:val="%9."/>
      <w:lvlJc w:val="left"/>
      <w:pPr>
        <w:ind w:left="4320" w:right="0" w:hanging="400"/>
      </w:pPr>
      <w:rPr/>
    </w:lvl>
  </w:abstractNum>
  <w:abstractNum w:abstractNumId="2">
    <w:nsid w:val="7bffff9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3">
    <w:nsid w:val="ffffff40"/>
    <w:multiLevelType w:val="hybridMultilevel"/>
    <w:lvl w:ilvl="0" w:tplc="409000f">
      <w:start w:val="1"/>
      <w:lvlText w:val="%1."/>
      <w:lvlJc w:val="left"/>
      <w:pPr>
        <w:ind w:left="112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520" w:right="0" w:hanging="400"/>
      </w:pPr>
      <w:rPr/>
    </w:lvl>
    <w:lvl w:ilvl="2" w:tplc="409001b">
      <w:start w:val="1"/>
      <w:numFmt w:val="lowerRoman"/>
      <w:lvlText w:val="%3."/>
      <w:lvlJc w:val="left"/>
      <w:pPr>
        <w:ind w:left="1920" w:right="0" w:hanging="400"/>
      </w:pPr>
      <w:rPr/>
    </w:lvl>
    <w:lvl w:ilvl="3" w:tplc="409000f">
      <w:start w:val="1"/>
      <w:lvlText w:val="%4."/>
      <w:lvlJc w:val="left"/>
      <w:pPr>
        <w:ind w:left="232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720" w:right="0" w:hanging="400"/>
      </w:pPr>
      <w:rPr/>
    </w:lvl>
    <w:lvl w:ilvl="5" w:tplc="409001b">
      <w:start w:val="1"/>
      <w:numFmt w:val="lowerRoman"/>
      <w:lvlText w:val="%6."/>
      <w:lvlJc w:val="left"/>
      <w:pPr>
        <w:ind w:left="3120" w:right="0" w:hanging="400"/>
      </w:pPr>
      <w:rPr/>
    </w:lvl>
    <w:lvl w:ilvl="6" w:tplc="409000f">
      <w:start w:val="1"/>
      <w:lvlText w:val="%7."/>
      <w:lvlJc w:val="left"/>
      <w:pPr>
        <w:ind w:left="352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3920" w:right="0" w:hanging="400"/>
      </w:pPr>
      <w:rPr/>
    </w:lvl>
    <w:lvl w:ilvl="8" w:tplc="409001b">
      <w:start w:val="1"/>
      <w:numFmt w:val="lowerRoman"/>
      <w:lvlText w:val="%9."/>
      <w:lvlJc w:val="left"/>
      <w:pPr>
        <w:ind w:left="4320" w:right="0" w:hanging="400"/>
      </w:pPr>
      <w:rPr/>
    </w:lvl>
  </w:abstractNum>
  <w:abstractNum w:abstractNumId="4">
    <w:nsid w:val="bf7dfc5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5">
    <w:nsid w:val="ffffef6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6">
    <w:nsid w:val="e7effe90"/>
    <w:multiLevelType w:val="hybridMultilevel"/>
    <w:lvl w:ilvl="0" w:tplc="409000f">
      <w:start w:val="1"/>
      <w:lvlText w:val="%1."/>
      <w:lvlJc w:val="left"/>
      <w:pPr>
        <w:ind w:left="1200" w:right="0" w:hanging="400"/>
      </w:pPr>
      <w:rPr/>
    </w:lvl>
    <w:lvl w:ilvl="1" w:tplc="4392858c">
      <w:start w:val="1"/>
      <w:numFmt w:val="lowerLetter"/>
      <w:lvlText w:val="%2."/>
      <w:lvlJc w:val="left"/>
      <w:pPr>
        <w:ind w:left="1600" w:right="0" w:hanging="400"/>
      </w:pPr>
      <w:rPr/>
    </w:lvl>
    <w:lvl w:ilvl="2" w:tplc="409001b">
      <w:start w:val="1"/>
      <w:numFmt w:val="lowerRoman"/>
      <w:lvlText w:val="%3."/>
      <w:lvlJc w:val="left"/>
      <w:pPr>
        <w:ind w:left="2000" w:right="0" w:hanging="400"/>
      </w:pPr>
      <w:rPr/>
    </w:lvl>
    <w:lvl w:ilvl="3" w:tplc="409000f">
      <w:start w:val="1"/>
      <w:lvlText w:val="%4."/>
      <w:lvlJc w:val="left"/>
      <w:pPr>
        <w:ind w:left="2400" w:right="0" w:hanging="400"/>
      </w:pPr>
      <w:rPr/>
    </w:lvl>
    <w:lvl w:ilvl="4" w:tplc="4392858c">
      <w:start w:val="1"/>
      <w:numFmt w:val="lowerLetter"/>
      <w:lvlText w:val="%5."/>
      <w:lvlJc w:val="left"/>
      <w:pPr>
        <w:ind w:left="2800" w:right="0" w:hanging="400"/>
      </w:pPr>
      <w:rPr/>
    </w:lvl>
    <w:lvl w:ilvl="5" w:tplc="409001b">
      <w:start w:val="1"/>
      <w:numFmt w:val="lowerRoman"/>
      <w:lvlText w:val="%6."/>
      <w:lvlJc w:val="left"/>
      <w:pPr>
        <w:ind w:left="3200" w:right="0" w:hanging="400"/>
      </w:pPr>
      <w:rPr/>
    </w:lvl>
    <w:lvl w:ilvl="6" w:tplc="409000f">
      <w:start w:val="1"/>
      <w:lvlText w:val="%7."/>
      <w:lvlJc w:val="left"/>
      <w:pPr>
        <w:ind w:left="3600" w:right="0" w:hanging="400"/>
      </w:pPr>
      <w:rPr/>
    </w:lvl>
    <w:lvl w:ilvl="7" w:tplc="4392858c">
      <w:start w:val="1"/>
      <w:numFmt w:val="lowerLetter"/>
      <w:lvlText w:val="%8."/>
      <w:lvlJc w:val="left"/>
      <w:pPr>
        <w:ind w:left="4000" w:right="0" w:hanging="400"/>
      </w:pPr>
      <w:rPr/>
    </w:lvl>
    <w:lvl w:ilvl="8" w:tplc="409001b">
      <w:start w:val="1"/>
      <w:numFmt w:val="lowerRoman"/>
      <w:lvlText w:val="%9."/>
      <w:lvlJc w:val="left"/>
      <w:pPr>
        <w:ind w:left="4400" w:right="0" w:hanging="400"/>
      </w:pPr>
      <w:rPr/>
    </w:lvl>
  </w:abstractNum>
  <w:abstractNum w:abstractNumId="7">
    <w:nsid w:val="7fedf70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ff7ffd7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>
    <w:nsid w:val="bf7fffd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fffbeed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fbf7ef6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ff7edf9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3fdbfde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>
    <w:nsid w:val="fffffd0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>
    <w:nsid w:val="f7ff7f4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>
    <w:nsid w:val="ffffffc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>
    <w:nsid w:val="6f7fdd6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>
    <w:nsid w:val="f7fff31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>
    <w:nsid w:val="6f7ffbb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>
    <w:nsid w:val="fffd6e5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>
    <w:nsid w:val="fffff76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>
    <w:nsid w:val="dfeff38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>
    <w:nsid w:val="ffbdefb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>
    <w:nsid w:val="effffff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>
    <w:nsid w:val="ef7ff750"/>
    <w:multiLevelType w:val="hybridMultilevel"/>
    <w:lvl w:ilvl="0" w:tplc="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EastAsia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41597953" w:unhideWhenUsed="1"/>
    <w:lsdException w:name="toc 2" w:semiHidden="1" w:uiPriority="541597953" w:unhideWhenUsed="1"/>
    <w:lsdException w:name="toc 3" w:semiHidden="1" w:uiPriority="541597953" w:unhideWhenUsed="1"/>
    <w:lsdException w:name="toc 4" w:semiHidden="1" w:uiPriority="541597953" w:unhideWhenUsed="1"/>
    <w:lsdException w:name="toc 5" w:semiHidden="1" w:uiPriority="541597953" w:unhideWhenUsed="1"/>
    <w:lsdException w:name="toc 6" w:semiHidden="1" w:uiPriority="541597953" w:unhideWhenUsed="1"/>
    <w:lsdException w:name="toc 7" w:semiHidden="1" w:uiPriority="541597953" w:unhideWhenUsed="1"/>
    <w:lsdException w:name="toc 8" w:semiHidden="1" w:uiPriority="541597953" w:unhideWhenUsed="1"/>
    <w:lsdException w:name="toc 9" w:semiHidden="1" w:uiPriority="541597953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4159526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5309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5309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0481682" w:qFormat="1"/>
    <w:lsdException w:name="Emphasis" w:uiPriority="1941208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41597953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-1994194638"/>
    <w:lsdException w:name="Light List" w:uiPriority="-1994194637"/>
    <w:lsdException w:name="Light Grid" w:uiPriority="-1994194606"/>
    <w:lsdException w:name="Medium Shading 1" w:uiPriority="-1994194605"/>
    <w:lsdException w:name="Medium Shading 2" w:uiPriority="1629496450"/>
    <w:lsdException w:name="Medium List 1" w:uiPriority="1629496451"/>
    <w:lsdException w:name="Medium List 2" w:uiPriority="2021795652"/>
    <w:lsdException w:name="Medium Grid 1" w:uiPriority="2021795653"/>
    <w:lsdException w:name="Medium Grid 2" w:uiPriority="2021800310"/>
    <w:lsdException w:name="Medium Grid 3" w:uiPriority="2021800311"/>
    <w:lsdException w:name="Dark List" w:uiPriority="2021933716"/>
    <w:lsdException w:name="Colorful Shading" w:uiPriority="2021933717"/>
    <w:lsdException w:name="Colorful List" w:uiPriority="2032410912"/>
    <w:lsdException w:name="Colorful Grid" w:uiPriority="2032410913"/>
    <w:lsdException w:name="Light Shading Accent 1" w:uiPriority="-1994194638"/>
    <w:lsdException w:name="Light List Accent 1" w:uiPriority="-1994194637"/>
    <w:lsdException w:name="Light Grid Accent 1" w:uiPriority="-1994194606"/>
    <w:lsdException w:name="Medium Shading 1 Accent 1" w:uiPriority="-1994194605"/>
    <w:lsdException w:name="Medium Shading 2 Accent 1" w:uiPriority="1629496450"/>
    <w:lsdException w:name="Medium List 1 Accent 1" w:uiPriority="1629496451"/>
    <w:lsdException w:name="Revision" w:semiHidden="1"/>
    <w:lsdException w:name="List Paragraph" w:uiPriority="541595266" w:qFormat="1"/>
    <w:lsdException w:name="Quote" w:uiPriority="421734533" w:qFormat="1"/>
    <w:lsdException w:name="Intense Quote" w:uiPriority="422868888" w:qFormat="1"/>
    <w:lsdException w:name="Medium List 2 Accent 1" w:uiPriority="2021795652"/>
    <w:lsdException w:name="Medium Grid 1 Accent 1" w:uiPriority="2021795653"/>
    <w:lsdException w:name="Medium Grid 2 Accent 1" w:uiPriority="2021800310"/>
    <w:lsdException w:name="Medium Grid 3 Accent 1" w:uiPriority="2021800311"/>
    <w:lsdException w:name="Dark List Accent 1" w:uiPriority="2021933716"/>
    <w:lsdException w:name="Colorful Shading Accent 1" w:uiPriority="2021933717"/>
    <w:lsdException w:name="Colorful List Accent 1" w:uiPriority="2032410912"/>
    <w:lsdException w:name="Colorful Grid Accent 1" w:uiPriority="2032410913"/>
    <w:lsdException w:name="Light Shading Accent 2" w:uiPriority="-1994194638"/>
    <w:lsdException w:name="Light List Accent 2" w:uiPriority="-1994194637"/>
    <w:lsdException w:name="Light Grid Accent 2" w:uiPriority="-1994194606"/>
    <w:lsdException w:name="Medium Shading 1 Accent 2" w:uiPriority="-1994194605"/>
    <w:lsdException w:name="Medium Shading 2 Accent 2" w:uiPriority="1629496450"/>
    <w:lsdException w:name="Medium List 1 Accent 2" w:uiPriority="1629496451"/>
    <w:lsdException w:name="Medium List 2 Accent 2" w:uiPriority="2021795652"/>
    <w:lsdException w:name="Medium Grid 1 Accent 2" w:uiPriority="2021795653"/>
    <w:lsdException w:name="Medium Grid 2 Accent 2" w:uiPriority="2021800310"/>
    <w:lsdException w:name="Medium Grid 3 Accent 2" w:uiPriority="2021800311"/>
    <w:lsdException w:name="Dark List Accent 2" w:uiPriority="2021933716"/>
    <w:lsdException w:name="Colorful Shading Accent 2" w:uiPriority="2021933717"/>
    <w:lsdException w:name="Colorful List Accent 2" w:uiPriority="2032410912"/>
    <w:lsdException w:name="Colorful Grid Accent 2" w:uiPriority="2032410913"/>
    <w:lsdException w:name="Light Shading Accent 3" w:uiPriority="-1994194638"/>
    <w:lsdException w:name="Light List Accent 3" w:uiPriority="-1994194637"/>
    <w:lsdException w:name="Light Grid Accent 3" w:uiPriority="-1994194606"/>
    <w:lsdException w:name="Medium Shading 1 Accent 3" w:uiPriority="-1994194605"/>
    <w:lsdException w:name="Medium Shading 2 Accent 3" w:uiPriority="1629496450"/>
    <w:lsdException w:name="Medium List 1 Accent 3" w:uiPriority="1629496451"/>
    <w:lsdException w:name="Medium List 2 Accent 3" w:uiPriority="2021795652"/>
    <w:lsdException w:name="Medium Grid 1 Accent 3" w:uiPriority="2021795653"/>
    <w:lsdException w:name="Medium Grid 2 Accent 3" w:uiPriority="2021800310"/>
    <w:lsdException w:name="Medium Grid 3 Accent 3" w:uiPriority="2021800311"/>
    <w:lsdException w:name="Dark List Accent 3" w:uiPriority="2021933716"/>
    <w:lsdException w:name="Colorful Shading Accent 3" w:uiPriority="2021933717"/>
    <w:lsdException w:name="Colorful List Accent 3" w:uiPriority="2032410912"/>
    <w:lsdException w:name="Colorful Grid Accent 3" w:uiPriority="2032410913"/>
    <w:lsdException w:name="Light Shading Accent 4" w:uiPriority="-1994194638"/>
    <w:lsdException w:name="Light List Accent 4" w:uiPriority="-1994194637"/>
    <w:lsdException w:name="Light Grid Accent 4" w:uiPriority="-1994194606"/>
    <w:lsdException w:name="Medium Shading 1 Accent 4" w:uiPriority="-1994194605"/>
    <w:lsdException w:name="Medium Shading 2 Accent 4" w:uiPriority="1629496450"/>
    <w:lsdException w:name="Medium List 1 Accent 4" w:uiPriority="1629496451"/>
    <w:lsdException w:name="Medium List 2 Accent 4" w:uiPriority="2021795652"/>
    <w:lsdException w:name="Medium Grid 1 Accent 4" w:uiPriority="2021795653"/>
    <w:lsdException w:name="Medium Grid 2 Accent 4" w:uiPriority="2021800310"/>
    <w:lsdException w:name="Medium Grid 3 Accent 4" w:uiPriority="2021800311"/>
    <w:lsdException w:name="Dark List Accent 4" w:uiPriority="2021933716"/>
    <w:lsdException w:name="Colorful Shading Accent 4" w:uiPriority="2021933717"/>
    <w:lsdException w:name="Colorful List Accent 4" w:uiPriority="2032410912"/>
    <w:lsdException w:name="Colorful Grid Accent 4" w:uiPriority="2032410913"/>
    <w:lsdException w:name="Light Shading Accent 5" w:uiPriority="-1994194638"/>
    <w:lsdException w:name="Light List Accent 5" w:uiPriority="-1994194637"/>
    <w:lsdException w:name="Light Grid Accent 5" w:uiPriority="-1994194606"/>
    <w:lsdException w:name="Medium Shading 1 Accent 5" w:uiPriority="-1994194605"/>
    <w:lsdException w:name="Medium Shading 2 Accent 5" w:uiPriority="1629496450"/>
    <w:lsdException w:name="Medium List 1 Accent 5" w:uiPriority="1629496451"/>
    <w:lsdException w:name="Medium List 2 Accent 5" w:uiPriority="2021795652"/>
    <w:lsdException w:name="Medium Grid 1 Accent 5" w:uiPriority="2021795653"/>
    <w:lsdException w:name="Medium Grid 2 Accent 5" w:uiPriority="2021800310"/>
    <w:lsdException w:name="Medium Grid 3 Accent 5" w:uiPriority="2021800311"/>
    <w:lsdException w:name="Dark List Accent 5" w:uiPriority="2021933716"/>
    <w:lsdException w:name="Colorful Shading Accent 5" w:uiPriority="2021933717"/>
    <w:lsdException w:name="Colorful List Accent 5" w:uiPriority="2032410912"/>
    <w:lsdException w:name="Colorful Grid Accent 5" w:uiPriority="2032410913"/>
    <w:lsdException w:name="Light Shading Accent 6" w:uiPriority="-1994194638"/>
    <w:lsdException w:name="Light List Accent 6" w:uiPriority="-1994194637"/>
    <w:lsdException w:name="Light Grid Accent 6" w:uiPriority="-1994194606"/>
    <w:lsdException w:name="Medium Shading 1 Accent 6" w:uiPriority="-1994194605"/>
    <w:lsdException w:name="Medium Shading 2 Accent 6" w:uiPriority="1629496450"/>
    <w:lsdException w:name="Medium List 1 Accent 6" w:uiPriority="1629496451"/>
    <w:lsdException w:name="Medium List 2 Accent 6" w:uiPriority="2021795652"/>
    <w:lsdException w:name="Medium Grid 1 Accent 6" w:uiPriority="2021795653"/>
    <w:lsdException w:name="Medium Grid 2 Accent 6" w:uiPriority="2021800310"/>
    <w:lsdException w:name="Medium Grid 3 Accent 6" w:uiPriority="2021800311"/>
    <w:lsdException w:name="Dark List Accent 6" w:uiPriority="2021933716"/>
    <w:lsdException w:name="Colorful Shading Accent 6" w:uiPriority="2021933717"/>
    <w:lsdException w:name="Colorful List Accent 6" w:uiPriority="2032410912"/>
    <w:lsdException w:name="Colorful Grid Accent 6" w:uiPriority="2032410913"/>
    <w:lsdException w:name="Subtle Emphasis" w:uiPriority="1388695" w:qFormat="1"/>
    <w:lsdException w:name="Intense Emphasis" w:uiPriority="19412085" w:qFormat="1"/>
    <w:lsdException w:name="Subtle Reference" w:uiPriority="422868889" w:qFormat="1"/>
    <w:lsdException w:name="Intense Reference" w:uiPriority="423698564" w:qFormat="1"/>
    <w:lsdException w:name="Book Title" w:uiPriority="423698565" w:qFormat="1"/>
    <w:lsdException w:name="Bibliography" w:semiHidden="1" w:uiPriority="541595269" w:unhideWhenUsed="1"/>
    <w:lsdException w:name="TOC Heading" w:semiHidden="1" w:uiPriority="541597953" w:unhideWhenUsed="1" w:qFormat="1"/>
    <w:lsdException w:name="Plain Table 1" w:uiPriority="561202483"/>
    <w:lsdException w:name="Plain Table 2" w:uiPriority="578822744"/>
    <w:lsdException w:name="Plain Table 3" w:uiPriority="578822745"/>
    <w:lsdException w:name="Plain Table 4" w:uiPriority="578823976"/>
    <w:lsdException w:name="Plain Table 5" w:uiPriority="578823977"/>
    <w:lsdException w:name="Grid Table Light" w:uiPriority="561202482"/>
    <w:lsdException w:name="Grid Table 1 Light" w:uiPriority="578844294"/>
    <w:lsdException w:name="Grid Table 2" w:uiPriority="578844295"/>
    <w:lsdException w:name="Grid Table 3" w:uiPriority="579242120"/>
    <w:lsdException w:name="Grid Table 4" w:uiPriority="579242121"/>
    <w:lsdException w:name="Grid Table 5 Dark" w:uiPriority="594117988"/>
    <w:lsdException w:name="Grid Table 6 Colorful" w:uiPriority="594117989"/>
    <w:lsdException w:name="Grid Table 7 Colorful" w:uiPriority="1096372838"/>
    <w:lsdException w:name="Grid Table 1 Light Accent 1" w:uiPriority="578844294"/>
    <w:lsdException w:name="Grid Table 2 Accent 1" w:uiPriority="578844295"/>
    <w:lsdException w:name="Grid Table 3 Accent 1" w:uiPriority="579242120"/>
    <w:lsdException w:name="Grid Table 4 Accent 1" w:uiPriority="579242121"/>
    <w:lsdException w:name="Grid Table 5 Dark Accent 1" w:uiPriority="594117988"/>
    <w:lsdException w:name="Grid Table 6 Colorful Accent 1" w:uiPriority="594117989"/>
    <w:lsdException w:name="Grid Table 7 Colorful Accent 1" w:uiPriority="1096372838"/>
    <w:lsdException w:name="Grid Table 1 Light Accent 2" w:uiPriority="578844294"/>
    <w:lsdException w:name="Grid Table 2 Accent 2" w:uiPriority="578844295"/>
    <w:lsdException w:name="Grid Table 3 Accent 2" w:uiPriority="579242120"/>
    <w:lsdException w:name="Grid Table 4 Accent 2" w:uiPriority="579242121"/>
    <w:lsdException w:name="Grid Table 5 Dark Accent 2" w:uiPriority="594117988"/>
    <w:lsdException w:name="Grid Table 6 Colorful Accent 2" w:uiPriority="594117989"/>
    <w:lsdException w:name="Grid Table 7 Colorful Accent 2" w:uiPriority="1096372838"/>
    <w:lsdException w:name="Grid Table 1 Light Accent 3" w:uiPriority="578844294"/>
    <w:lsdException w:name="Grid Table 2 Accent 3" w:uiPriority="578844295"/>
    <w:lsdException w:name="Grid Table 3 Accent 3" w:uiPriority="579242120"/>
    <w:lsdException w:name="Grid Table 4 Accent 3" w:uiPriority="579242121"/>
    <w:lsdException w:name="Grid Table 5 Dark Accent 3" w:uiPriority="594117988"/>
    <w:lsdException w:name="Grid Table 6 Colorful Accent 3" w:uiPriority="594117989"/>
    <w:lsdException w:name="Grid Table 7 Colorful Accent 3" w:uiPriority="1096372838"/>
    <w:lsdException w:name="Grid Table 1 Light Accent 4" w:uiPriority="578844294"/>
    <w:lsdException w:name="Grid Table 2 Accent 4" w:uiPriority="578844295"/>
    <w:lsdException w:name="Grid Table 3 Accent 4" w:uiPriority="579242120"/>
    <w:lsdException w:name="Grid Table 4 Accent 4" w:uiPriority="579242121"/>
    <w:lsdException w:name="Grid Table 5 Dark Accent 4" w:uiPriority="594117988"/>
    <w:lsdException w:name="Grid Table 6 Colorful Accent 4" w:uiPriority="594117989"/>
    <w:lsdException w:name="Grid Table 7 Colorful Accent 4" w:uiPriority="1096372838"/>
    <w:lsdException w:name="Grid Table 1 Light Accent 5" w:uiPriority="578844294"/>
    <w:lsdException w:name="Grid Table 2 Accent 5" w:uiPriority="578844295"/>
    <w:lsdException w:name="Grid Table 3 Accent 5" w:uiPriority="579242120"/>
    <w:lsdException w:name="Grid Table 4 Accent 5" w:uiPriority="579242121"/>
    <w:lsdException w:name="Grid Table 5 Dark Accent 5" w:uiPriority="594117988"/>
    <w:lsdException w:name="Grid Table 6 Colorful Accent 5" w:uiPriority="594117989"/>
    <w:lsdException w:name="Grid Table 7 Colorful Accent 5" w:uiPriority="1096372838"/>
    <w:lsdException w:name="Grid Table 1 Light Accent 6" w:uiPriority="578844294"/>
    <w:lsdException w:name="Grid Table 2 Accent 6" w:uiPriority="578844295"/>
    <w:lsdException w:name="Grid Table 3 Accent 6" w:uiPriority="579242120"/>
    <w:lsdException w:name="Grid Table 4 Accent 6" w:uiPriority="579242121"/>
    <w:lsdException w:name="Grid Table 5 Dark Accent 6" w:uiPriority="594117988"/>
    <w:lsdException w:name="Grid Table 6 Colorful Accent 6" w:uiPriority="594117989"/>
    <w:lsdException w:name="Grid Table 7 Colorful Accent 6" w:uiPriority="1096372838"/>
    <w:lsdException w:name="List Table 1 Light" w:uiPriority="578844294"/>
    <w:lsdException w:name="List Table 2" w:uiPriority="578844295"/>
    <w:lsdException w:name="List Table 3" w:uiPriority="579242120"/>
    <w:lsdException w:name="List Table 4" w:uiPriority="579242121"/>
    <w:lsdException w:name="List Table 5 Dark" w:uiPriority="594117988"/>
    <w:lsdException w:name="List Table 6 Colorful" w:uiPriority="594117989"/>
    <w:lsdException w:name="List Table 7 Colorful" w:uiPriority="1096372838"/>
    <w:lsdException w:name="List Table 1 Light Accent 1" w:uiPriority="578844294"/>
    <w:lsdException w:name="List Table 2 Accent 1" w:uiPriority="578844295"/>
    <w:lsdException w:name="List Table 3 Accent 1" w:uiPriority="579242120"/>
    <w:lsdException w:name="List Table 4 Accent 1" w:uiPriority="579242121"/>
    <w:lsdException w:name="List Table 5 Dark Accent 1" w:uiPriority="594117988"/>
    <w:lsdException w:name="List Table 6 Colorful Accent 1" w:uiPriority="594117989"/>
    <w:lsdException w:name="List Table 7 Colorful Accent 1" w:uiPriority="1096372838"/>
    <w:lsdException w:name="List Table 1 Light Accent 2" w:uiPriority="578844294"/>
    <w:lsdException w:name="List Table 2 Accent 2" w:uiPriority="578844295"/>
    <w:lsdException w:name="List Table 3 Accent 2" w:uiPriority="579242120"/>
    <w:lsdException w:name="List Table 4 Accent 2" w:uiPriority="579242121"/>
    <w:lsdException w:name="List Table 5 Dark Accent 2" w:uiPriority="594117988"/>
    <w:lsdException w:name="List Table 6 Colorful Accent 2" w:uiPriority="594117989"/>
    <w:lsdException w:name="List Table 7 Colorful Accent 2" w:uiPriority="1096372838"/>
    <w:lsdException w:name="List Table 1 Light Accent 3" w:uiPriority="578844294"/>
    <w:lsdException w:name="List Table 2 Accent 3" w:uiPriority="578844295"/>
    <w:lsdException w:name="List Table 3 Accent 3" w:uiPriority="579242120"/>
    <w:lsdException w:name="List Table 4 Accent 3" w:uiPriority="579242121"/>
    <w:lsdException w:name="List Table 5 Dark Accent 3" w:uiPriority="594117988"/>
    <w:lsdException w:name="List Table 6 Colorful Accent 3" w:uiPriority="594117989"/>
    <w:lsdException w:name="List Table 7 Colorful Accent 3" w:uiPriority="1096372838"/>
    <w:lsdException w:name="List Table 1 Light Accent 4" w:uiPriority="578844294"/>
    <w:lsdException w:name="List Table 2 Accent 4" w:uiPriority="578844295"/>
    <w:lsdException w:name="List Table 3 Accent 4" w:uiPriority="579242120"/>
    <w:lsdException w:name="List Table 4 Accent 4" w:uiPriority="579242121"/>
    <w:lsdException w:name="List Table 5 Dark Accent 4" w:uiPriority="594117988"/>
    <w:lsdException w:name="List Table 6 Colorful Accent 4" w:uiPriority="594117989"/>
    <w:lsdException w:name="List Table 7 Colorful Accent 4" w:uiPriority="1096372838"/>
    <w:lsdException w:name="List Table 1 Light Accent 5" w:uiPriority="578844294"/>
    <w:lsdException w:name="List Table 2 Accent 5" w:uiPriority="578844295"/>
    <w:lsdException w:name="List Table 3 Accent 5" w:uiPriority="579242120"/>
    <w:lsdException w:name="List Table 4 Accent 5" w:uiPriority="579242121"/>
    <w:lsdException w:name="List Table 5 Dark Accent 5" w:uiPriority="594117988"/>
    <w:lsdException w:name="List Table 6 Colorful Accent 5" w:uiPriority="594117989"/>
    <w:lsdException w:name="List Table 7 Colorful Accent 5" w:uiPriority="1096372838"/>
    <w:lsdException w:name="List Table 1 Light Accent 6" w:uiPriority="578844294"/>
    <w:lsdException w:name="List Table 2 Accent 6" w:uiPriority="578844295"/>
    <w:lsdException w:name="List Table 3 Accent 6" w:uiPriority="579242120"/>
    <w:lsdException w:name="List Table 4 Accent 6" w:uiPriority="579242121"/>
    <w:lsdException w:name="List Table 5 Dark Accent 6" w:uiPriority="594117988"/>
    <w:lsdException w:name="List Table 6 Colorful Accent 6" w:uiPriority="594117989"/>
    <w:lsdException w:name="List Table 7 Colorful Accent 6" w:uiPriority="1096372838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0">
    <w:name w:val="Table Grid"/>
    <w:uiPriority w:val="59"/>
    <w:basedOn w:val="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1">
    <w:name w:val="List Paragraph"/>
    <w:uiPriority w:val="34"/>
    <w:basedOn w:val="a2"/>
    <w:qFormat/>
    <w:pPr>
      <w:ind w:left="720"/>
      <w:contextualSpacing/>
    </w:p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0">
    <w:name w:val="Plain Table 1"/>
    <w:uiPriority w:val="41"/>
    <w:basedOn w:val="a4"/>
    <w:pPr>
      <w:spacing w:after="0" w:line="240" w:lineRule="auto"/>
    </w:pPr>
    <w:tblPr>
      <w:tblBorders>
        <w:top w:val="single" w:sz="4" w:space="0" w:color="BFBFBF" w:themeColor="lt1" w:themeShade="bf"/>
        <w:left w:val="single" w:sz="4" w:space="0" w:color="BFBFBF" w:themeColor="lt1" w:themeShade="bf"/>
        <w:bottom w:val="single" w:sz="4" w:space="0" w:color="BFBFBF" w:themeColor="lt1" w:themeShade="bf"/>
        <w:right w:val="single" w:sz="4" w:space="0" w:color="BFBFBF" w:themeColor="lt1" w:themeShade="bf"/>
        <w:insideH w:val="single" w:sz="4" w:space="0" w:color="BFBFBF" w:themeColor="lt1" w:themeShade="bf"/>
        <w:insideV w:val="single" w:sz="4" w:space="0" w:color="BFBFBF" w:themeColor="lt1" w:themeShade="bf"/>
      </w:tblBorders>
      <w:tblStyleColBandSize w:val="1"/>
      <w:tblStyleRow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lt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lt1" w:themeFillShade="f2"/>
      </w:tcPr>
    </w:tblStylePr>
    <w:tblStylePr w:type="band1Horz">
      <w:tblPr/>
      <w:tcPr>
        <w:shd w:val="clear" w:color="auto" w:fill="F2F2F2" w:themeFill="lt1" w:themeFillShade="f2"/>
      </w:tcPr>
    </w:tblStylePr>
  </w:style>
  <w:style w:type="paragraph" w:customStyle="1" w:styleId="b1">
    <w:name w:val="스타일1"/>
    <w:basedOn w:val="a2"/>
    <w:qFormat/>
    <w:rPr>
      <w:rFonts w:ascii="함초롬바탕" w:eastAsia="함초롬바탕" w:hAnsi="함초롬바탕" w:cs="함초롬바탕" w:hint="default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gkseh</dc:creator>
  <cp:keywords/>
  <dc:description/>
  <cp:lastModifiedBy>gkseh</cp:lastModifiedBy>
  <cp:revision>1</cp:revision>
  <dcterms:modified xsi:type="dcterms:W3CDTF">2025-09-25T15:07:38Z</dcterms:modified>
  <cp:version>1300.0100.01</cp:version>
</cp:coreProperties>
</file>