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/>
          <w:rFonts w:ascii="함초롬바탕" w:eastAsia="함초롬바탕" w:hAnsi="함초롬바탕" w:cs="함초롬바탕" w:hint="default"/>
          <w:b/>
          <w:sz w:val="44"/>
          <w:rtl w:val="off"/>
        </w:rPr>
      </w:pPr>
      <w:bookmarkStart w:id="1" w:name="_top"/>
      <w:bookmarkEnd w:id="1"/>
      <w:r>
        <w:rPr>
          <w:lang/>
          <w:rFonts w:ascii="함초롬바탕" w:eastAsia="함초롬바탕" w:hAnsi="함초롬바탕" w:cs="함초롬바탕" w:hint="default"/>
          <w:b/>
          <w:sz w:val="44"/>
          <w:rtl w:val="off"/>
        </w:rPr>
        <mc:AlternateContent>
          <mc:Choice Requires="wps">
            <w:drawing>
              <wp:anchor distT="0" distB="0" distL="114300" distR="114300" behindDoc="0" locked="0" layoutInCell="1" simplePos="0" relativeHeight="251661312" allowOverlap="1" hidden="0">
                <wp:simplePos x="0" y="0"/>
                <wp:positionH relativeFrom="column">
                  <wp:posOffset>14061</wp:posOffset>
                </wp:positionH>
                <wp:positionV relativeFrom="paragraph">
                  <wp:posOffset>889725</wp:posOffset>
                </wp:positionV>
                <wp:extent cx="5460238" cy="97531"/>
                <wp:effectExtent l="0" t="0" r="0" b="0"/>
                <wp:wrapNone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TextEdit="1"/>
                      </wps:cNvSpPr>
                      <wps:spPr>
                        <a:xfrm>
                          <a:off x="1094196" y="2150200"/>
                          <a:ext cx="5460238" cy="97531"/>
                        </a:xfrm>
                        <a:prstGeom prst="rect">
                          <a:avLst/>
                        </a:prstGeom>
                        <a:solidFill>
                          <a:srgbClr val="087dbc">
                            <a:alpha val="10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5" style="position:absolute;margin-left:1.10717pt;margin-top:70.0571pt;width:429.94pt;height:7.67961pt;mso-position-horizontal-relative:column;mso-position-vertical-relative:line;v-text-anchor:middle;mso-wrap-style:square;z-index:1895822335" o:allowincell="t" filled="t" fillcolor="#087dbc" strokecolor="#395e8a" strokeweight="1pt">
                <v:stroke joinstyle="round"/>
              </v:rect>
            </w:pict>
          </mc:Fallback>
        </mc:AlternateContent>
      </w:r>
      <w:r>
        <w:rPr>
          <w:rFonts w:ascii="함초롬바탕" w:eastAsia="함초롬바탕" w:hAnsi="함초롬바탕" w:cs="함초롬바탕" w:hint="default"/>
          <w:b/>
          <w:sz w:val="44"/>
        </w:rPr>
        <w:br/>
      </w:r>
    </w:p>
    <w:p>
      <w:pPr>
        <w:jc w:val="center"/>
        <w:rPr>
          <w:rFonts w:ascii="함초롬바탕" w:eastAsia="함초롬바탕" w:hAnsi="함초롬바탕" w:cs="함초롬바탕" w:hint="default"/>
        </w:rPr>
      </w:pPr>
      <w:r>
        <w:rPr>
          <w:lang w:eastAsia="ko-KR"/>
          <w:rFonts w:ascii="함초롬바탕" w:eastAsia="함초롬바탕" w:hAnsi="함초롬바탕" w:cs="함초롬바탕" w:hint="default"/>
          <w:b/>
          <w:sz w:val="44"/>
          <w:rtl w:val="off"/>
        </w:rPr>
        <w:t>하이드로젠텍</w:t>
      </w:r>
      <w:r>
        <w:rPr>
          <w:rFonts w:ascii="함초롬바탕" w:eastAsia="함초롬바탕" w:hAnsi="함초롬바탕" w:cs="함초롬바탕" w:hint="default"/>
          <w:b/>
          <w:sz w:val="44"/>
        </w:rPr>
        <w:t xml:space="preserve"> 투자 분</w:t>
      </w:r>
      <w:r>
        <w:rPr>
          <w:rFonts w:ascii="함초롬바탕" w:eastAsia="함초롬바탕" w:hAnsi="함초롬바탕" w:cs="함초롬바탕" w:hint="default"/>
          <w:b/>
          <w:sz w:val="44"/>
        </w:rPr>
        <w:t>석</w:t>
      </w:r>
      <w:r>
        <w:rPr>
          <w:rFonts w:ascii="함초롬바탕" w:eastAsia="함초롬바탕" w:hAnsi="함초롬바탕" w:cs="함초롬바탕" w:hint="default"/>
          <w:b/>
          <w:sz w:val="44"/>
        </w:rPr>
        <w:t xml:space="preserve"> 보고서</w:t>
      </w:r>
    </w:p>
    <w:p>
      <w:pPr>
        <w:jc w:val="center"/>
        <w:rPr>
          <w:rFonts w:ascii="함초롬바탕" w:eastAsia="함초롬바탕" w:hAnsi="함초롬바탕" w:cs="함초롬바탕" w:hint="default"/>
        </w:rPr>
      </w:pPr>
      <w:r>
        <w:rPr>
          <w:rFonts w:ascii="함초롬바탕" w:eastAsia="함초롬바탕" w:hAnsi="함초롬바탕" w:cs="함초롬바탕" w:hint="default"/>
          <w:sz w:val="40"/>
          <w:szCs w:val="40"/>
        </w:rPr>
        <w:t xml:space="preserve">Confidential </w:t>
      </w:r>
      <w:r>
        <w:rPr>
          <w:rFonts w:ascii="함초롬바탕" w:eastAsia="함초롬바탕" w:hAnsi="함초롬바탕" w:cs="함초롬바탕" w:hint="default"/>
          <w:sz w:val="44"/>
          <w:szCs w:val="44"/>
        </w:rPr>
        <w:t>documen</w:t>
      </w:r>
    </w:p>
    <w:p>
      <w:pPr>
        <w:rPr>
          <w:lang w:eastAsia="ko-KR"/>
          <w:rFonts w:ascii="함초롬바탕" w:eastAsia="함초롬바탕" w:hAnsi="함초롬바탕" w:cs="함초롬바탕" w:hint="eastAsia"/>
          <w:sz w:val="30"/>
          <w:rtl w:val="off"/>
        </w:rPr>
      </w:pPr>
      <w:r>
        <w:rPr>
          <w:lang/>
          <w:rFonts w:ascii="함초롬바탕" w:eastAsia="함초롬바탕" w:hAnsi="함초롬바탕" w:cs="함초롬바탕" w:hint="default"/>
          <w:b/>
          <w:sz w:val="44"/>
          <w:rtl w:val="off"/>
        </w:rPr>
        <mc:AlternateContent>
          <mc:Choice Requires="wps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posOffset>18142</wp:posOffset>
                </wp:positionH>
                <wp:positionV relativeFrom="paragraph">
                  <wp:posOffset>67583</wp:posOffset>
                </wp:positionV>
                <wp:extent cx="5460237" cy="97531"/>
                <wp:effectExtent l="0" t="0" r="0" b="0"/>
                <wp:wrapNone/>
                <wp:docPr id="1026" name="shape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TextEdit="1"/>
                      </wps:cNvSpPr>
                      <wps:spPr>
                        <a:xfrm>
                          <a:off x="1098277" y="3881113"/>
                          <a:ext cx="5460237" cy="97531"/>
                        </a:xfrm>
                        <a:prstGeom prst="rect">
                          <a:avLst/>
                        </a:prstGeom>
                        <a:solidFill>
                          <a:srgbClr val="087dbc">
                            <a:alpha val="10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style="position:absolute;margin-left:1.4285pt;margin-top:5.3215pt;width:429.94pt;height:7.67961pt;mso-position-horizontal-relative:column;mso-position-vertical-relative:line;v-text-anchor:middle;mso-wrap-style:square;z-index:1895823359" o:allowincell="t" filled="t" fillcolor="#087dbc" strokecolor="#395e8a" strokeweight="1pt">
                <v:stroke joinstyle="round"/>
              </v:rect>
            </w:pict>
          </mc:Fallback>
        </mc:AlternateContent>
      </w:r>
    </w:p>
    <w:p>
      <w:pPr>
        <w:rPr>
          <w:lang w:eastAsia="ko-KR"/>
          <w:rFonts w:ascii="함초롬바탕" w:eastAsia="함초롬바탕" w:hAnsi="함초롬바탕" w:cs="함초롬바탕" w:hint="eastAsia"/>
          <w:sz w:val="30"/>
          <w:rtl w:val="off"/>
        </w:rPr>
      </w:pPr>
    </w:p>
    <w:p>
      <w:pPr>
        <w:jc w:val="right"/>
        <w:rPr>
          <w:rFonts w:ascii="함초롬바탕" w:eastAsia="함초롬바탕" w:hAnsi="함초롬바탕" w:cs="함초롬바탕" w:hint="default"/>
          <w:sz w:val="32"/>
          <w:szCs w:val="32"/>
          <w:u w:color="auto"/>
        </w:rPr>
      </w:pPr>
      <w:r>
        <w:rPr>
          <w:rFonts w:ascii="함초롬바탕" w:eastAsia="함초롬바탕" w:hAnsi="함초롬바탕" w:cs="함초롬바탕" w:hint="default"/>
          <w:sz w:val="32"/>
          <w:szCs w:val="32"/>
          <w:u w:color="auto"/>
        </w:rPr>
        <w:t xml:space="preserve">작성일: </w:t>
      </w:r>
      <w:r>
        <w:rPr>
          <w:lang w:eastAsia="ko-KR"/>
          <w:rFonts w:ascii="함초롬바탕" w:eastAsia="함초롬바탕" w:hAnsi="함초롬바탕" w:cs="함초롬바탕" w:hint="default"/>
          <w:sz w:val="32"/>
          <w:szCs w:val="32"/>
          <w:u w:color="auto"/>
          <w:rtl w:val="off"/>
        </w:rPr>
        <w:t>2025-09-23</w:t>
      </w:r>
    </w:p>
    <w:p>
      <w:pPr>
        <w:jc w:val="right"/>
        <w:rPr>
          <w:lang/>
          <w:rFonts w:ascii="함초롬바탕" w:eastAsia="함초롬바탕" w:hAnsi="함초롬바탕" w:cs="함초롬바탕"/>
          <w:sz w:val="32"/>
          <w:szCs w:val="32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32"/>
          <w:szCs w:val="32"/>
          <w:u w:color="auto"/>
        </w:rPr>
        <w:t>작성자: 애널리스트 김현우</w:t>
      </w:r>
    </w:p>
    <w:p>
      <w:pPr>
        <w:jc w:val="right"/>
        <w:rPr>
          <w:lang/>
          <w:rFonts w:ascii="함초롬바탕" w:eastAsia="함초롬바탕" w:hAnsi="함초롬바탕" w:cs="함초롬바탕" w:hint="default"/>
          <w:b w:val="0"/>
          <w:sz w:val="32"/>
          <w:szCs w:val="32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b w:val="0"/>
          <w:sz w:val="32"/>
          <w:szCs w:val="32"/>
          <w:u w:color="auto"/>
          <w:rtl w:val="off"/>
        </w:rPr>
        <w:t xml:space="preserve">Email: </w:t>
      </w:r>
      <w:r>
        <w:rPr>
          <w:rFonts w:ascii="함초롬바탕" w:eastAsia="함초롬바탕" w:hAnsi="함초롬바탕" w:cs="함초롬바탕"/>
          <w:b/>
          <w:sz w:val="32"/>
          <w:szCs w:val="32"/>
          <w:u w:color="auto"/>
          <w:shd w:val="clear" w:color="000000" w:fill="auto"/>
        </w:rPr>
        <w:t>wonseop82@korea.kr</w:t>
      </w: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tbl>
      <w:tblPr>
        <w:tblStyle w:val="a0"/>
        <w:tblpPr w:vertAnchor="text" w:horzAnchor="page" w:tblpX="3270" w:tblpY="532"/>
        <w:tblOverlap w:val="never"/>
        <w:tblLook w:val="04A0" w:firstRow="1" w:lastRow="0" w:firstColumn="1" w:lastColumn="0" w:noHBand="0" w:noVBand="1"/>
        <w:tblLayout w:type="autofit"/>
      </w:tblPr>
      <w:tblGrid>
        <w:gridCol w:w="2777"/>
        <w:gridCol w:w="277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  <w:r>
              <w:rPr>
                <w:rFonts w:ascii="함초롬바탕" w:eastAsia="함초롬바탕" w:hAnsi="함초롬바탕" w:cs="함초롬바탕" w:hint="default"/>
              </w:rPr>
              <w:drawing>
                <wp:anchor distT="0" distB="0" distL="0" distR="0" behindDoc="0" locked="0" layoutInCell="1" simplePos="0" relativeHeight="251659264" allowOverlap="1" hidden="0">
                  <wp:simplePos x="0" y="0"/>
                  <wp:positionH relativeFrom="column">
                    <wp:posOffset>445694</wp:posOffset>
                  </wp:positionH>
                  <wp:positionV relativeFrom="paragraph">
                    <wp:posOffset>12737</wp:posOffset>
                  </wp:positionV>
                  <wp:extent cx="762889" cy="924432"/>
                  <wp:effectExtent l="0" t="0" r="0" b="0"/>
                  <wp:wrapSquare wrapText="bothSides"/>
                  <wp:docPr id="1027" name="shape10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shape1027"/>
                          <pic:cNvPicPr>
                            <a:picLocks noUngrp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889" cy="924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  <w:r>
              <w:rPr>
                <w:rFonts w:ascii="함초롬바탕" w:eastAsia="함초롬바탕" w:hAnsi="함초롬바탕" w:cs="함초롬바탕" w:hint="default"/>
                <w:b/>
                <w:sz w:val="44"/>
              </w:rPr>
              <w:t>HS Capital</w:t>
            </w:r>
          </w:p>
        </w:tc>
      </w:tr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  <w:r>
              <w:rPr>
                <w:rFonts w:ascii="함초롬바탕" w:eastAsia="함초롬바탕" w:hAnsi="함초롬바탕" w:cs="함초롬바탕" w:hint="default"/>
                <w:b/>
                <w:sz w:val="44"/>
              </w:rPr>
              <w:t xml:space="preserve"> Investment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0"/>
          <w:szCs w:val="20"/>
          <w:rtl w:val="off"/>
        </w:rPr>
      </w:pPr>
    </w:p>
    <w:p>
      <w:pPr>
        <w:tabs>
          <w:tab w:val="left" w:pos="540"/>
        </w:tabs>
        <w:rPr>
          <w:caps w:val="off"/>
          <w:lang w:eastAsia="ko-KR"/>
          <w:rFonts w:ascii="함초롬바탕" w:eastAsia="함초롬바탕" w:hAnsi="함초롬바탕" w:cs="함초롬바탕" w:hint="eastAsia"/>
          <w:b w:val="0"/>
          <w:i w:val="0"/>
          <w:sz w:val="14"/>
          <w:szCs w:val="14"/>
          <w:rtl w:val="off"/>
        </w:rPr>
      </w:pPr>
    </w:p>
    <w:p>
      <w:pPr>
        <w:tabs>
          <w:tab w:val="left" w:pos="540"/>
        </w:tabs>
        <w:rPr>
          <w:caps w:val="off"/>
          <w:lang w:eastAsia="ko-KR"/>
          <w:rFonts w:ascii="함초롬바탕" w:eastAsia="함초롬바탕" w:hAnsi="함초롬바탕" w:cs="함초롬바탕" w:hint="eastAsia"/>
          <w:b w:val="0"/>
          <w:i w:val="0"/>
          <w:sz w:val="14"/>
          <w:szCs w:val="14"/>
          <w:rtl w:val="off"/>
        </w:rPr>
      </w:pPr>
    </w:p>
    <w:p>
      <w:pPr>
        <w:tabs>
          <w:tab w:val="left" w:pos="540"/>
        </w:tabs>
        <w:rPr>
          <w:caps w:val="off"/>
          <w:lang w:eastAsia="ko-KR"/>
          <w:rFonts w:ascii="함초롬바탕" w:eastAsia="함초롬바탕" w:hAnsi="함초롬바탕" w:cs="함초롬바탕" w:hint="eastAsia"/>
          <w:b w:val="0"/>
          <w:i w:val="0"/>
          <w:sz w:val="22"/>
          <w:szCs w:val="22"/>
          <w:rtl w:val="off"/>
        </w:rPr>
      </w:pPr>
      <w:r>
        <w:rPr>
          <w:rFonts w:ascii="함초롬바탕" w:eastAsia="함초롬바탕" w:hAnsi="함초롬바탕" w:cs="함초롬바탕" w:hint="default"/>
          <w:sz w:val="22"/>
          <w:szCs w:val="22"/>
        </w:rPr>
        <w:t>서울특별시 성북구 삼선교로 24길 17</w:t>
      </w:r>
    </w:p>
    <w:p>
      <w:pPr>
        <w:tabs>
          <w:tab w:val="left" w:pos="540"/>
        </w:tabs>
        <w:rPr>
          <w:caps w:val="off"/>
          <w:lang w:eastAsia="ko-KR"/>
          <w:rFonts w:ascii="함초롬바탕" w:eastAsia="함초롬바탕" w:hAnsi="함초롬바탕" w:cs="함초롬바탕" w:hint="eastAsia"/>
          <w:b w:val="0"/>
          <w:i w:val="0"/>
          <w:sz w:val="22"/>
          <w:szCs w:val="22"/>
          <w:rtl w:val="off"/>
        </w:rPr>
      </w:pPr>
    </w:p>
    <w:p>
      <w:pPr>
        <w:pStyle w:val="a1"/>
        <w:ind w:leftChars="0" w:left="800"/>
        <w:jc w:val="center"/>
        <w:tabs>
          <w:tab w:val="right" w:pos="1400" w:leader="middleDot"/>
          <w:tab w:val="right" w:pos="40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4"/>
          <w:szCs w:val="3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44"/>
          <w:szCs w:val="44"/>
          <w:rtl w:val="off"/>
        </w:rPr>
        <w:t>목차</w:t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rFonts w:ascii="함초롬바탕" w:eastAsia="함초롬바탕" w:hAnsi="함초롬바탕" w:cs="함초롬바탕" w:hint="default"/>
          <w:sz w:val="30"/>
          <w:szCs w:val="30"/>
        </w:rPr>
        <w:t>기업 개요 및 투자 요</w:t>
      </w: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>약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1</w:t>
      </w:r>
    </w:p>
    <w:p>
      <w:pPr>
        <w:pStyle w:val="a1"/>
        <w:numPr>
          <w:ilvl w:val="0"/>
          <w:numId w:val="2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기업 개요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2</w:t>
      </w:r>
    </w:p>
    <w:p>
      <w:pPr>
        <w:pStyle w:val="a1"/>
        <w:numPr>
          <w:ilvl w:val="0"/>
          <w:numId w:val="2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경영진 및 지배 구조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3</w:t>
      </w:r>
    </w:p>
    <w:p>
      <w:pPr>
        <w:pStyle w:val="a1"/>
        <w:numPr>
          <w:ilvl w:val="0"/>
          <w:numId w:val="2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투자 포인트 요약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4</w:t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rFonts w:ascii="함초롬바탕" w:eastAsia="함초롬바탕" w:hAnsi="함초롬바탕" w:cs="함초롬바탕" w:hint="default"/>
          <w:sz w:val="30"/>
          <w:szCs w:val="30"/>
        </w:rPr>
        <w:t>사업 및 재무 분석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5</w:t>
      </w:r>
    </w:p>
    <w:p>
      <w:pPr>
        <w:pStyle w:val="a1"/>
        <w:numPr>
          <w:ilvl w:val="0"/>
          <w:numId w:val="3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핵심 사업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6</w:t>
      </w:r>
    </w:p>
    <w:p>
      <w:pPr>
        <w:pStyle w:val="a1"/>
        <w:numPr>
          <w:ilvl w:val="0"/>
          <w:numId w:val="3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재무 성과 및 추이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7</w:t>
      </w:r>
    </w:p>
    <w:p>
      <w:pPr>
        <w:pStyle w:val="a1"/>
        <w:numPr>
          <w:ilvl w:val="0"/>
          <w:numId w:val="3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비용 구조 및 수익성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8</w:t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30"/>
          <w:szCs w:val="30"/>
        </w:rPr>
        <w:t>산업 및 시장 동향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9</w:t>
      </w:r>
    </w:p>
    <w:p>
      <w:pPr>
        <w:pStyle w:val="a1"/>
        <w:numPr>
          <w:ilvl w:val="0"/>
          <w:numId w:val="4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시장 규모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p>
      <w:pPr>
        <w:pStyle w:val="a1"/>
        <w:numPr>
          <w:ilvl w:val="0"/>
          <w:numId w:val="4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산업 성장성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10</w:t>
      </w:r>
    </w:p>
    <w:p>
      <w:pPr>
        <w:pStyle w:val="a1"/>
        <w:numPr>
          <w:ilvl w:val="0"/>
          <w:numId w:val="4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경쟁 환경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11</w:t>
      </w:r>
    </w:p>
    <w:p>
      <w:p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30"/>
          <w:szCs w:val="30"/>
        </w:rPr>
        <w:t>리스크 및 기회 요인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12</w:t>
      </w:r>
    </w:p>
    <w:p>
      <w:pPr>
        <w:pStyle w:val="a1"/>
        <w:numPr>
          <w:ilvl w:val="0"/>
          <w:numId w:val="5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주요 리스크 요인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13</w:t>
      </w:r>
    </w:p>
    <w:p>
      <w:pPr>
        <w:pStyle w:val="a1"/>
        <w:numPr>
          <w:ilvl w:val="0"/>
          <w:numId w:val="5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성장 기회 및 미래 전략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14</w:t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>벨류에이션 및 결론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15</w:t>
      </w:r>
    </w:p>
    <w:p>
      <w:pPr>
        <w:pStyle w:val="a1"/>
        <w:numPr>
          <w:ilvl w:val="0"/>
          <w:numId w:val="6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가치 평가 모델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16</w:t>
      </w:r>
    </w:p>
    <w:p>
      <w:pPr>
        <w:pStyle w:val="a1"/>
        <w:numPr>
          <w:ilvl w:val="0"/>
          <w:numId w:val="6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목표 주가 및 투자 의견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17</w:t>
      </w:r>
    </w:p>
    <w:p>
      <w:pPr>
        <w:pStyle w:val="a1"/>
        <w:numPr>
          <w:ilvl w:val="0"/>
          <w:numId w:val="6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투자 시나리오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30"/>
          <w:szCs w:val="30"/>
        </w:rPr>
        <w:t>부록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18</w:t>
      </w:r>
    </w:p>
    <w:p>
      <w:pPr>
        <w:pStyle w:val="a1"/>
        <w:numPr>
          <w:ilvl w:val="0"/>
          <w:numId w:val="7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재무제표 요약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19</w:t>
      </w:r>
    </w:p>
    <w:p>
      <w:pPr>
        <w:pStyle w:val="a1"/>
        <w:numPr>
          <w:ilvl w:val="0"/>
          <w:numId w:val="7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재무상태표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20</w:t>
      </w: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0"/>
                <w:szCs w:val="30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Ⅰ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0"/>
                <w:szCs w:val="30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0"/>
                <w:szCs w:val="30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 기업 개요 및 투자요약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기업 개요</w:t>
            </w:r>
          </w:p>
        </w:tc>
      </w:tr>
    </w:tbl>
    <w:p>
      <w:pPr>
        <w:pStyle w:val="a1"/>
        <w:numPr>
          <w:ilvl w:val="0"/>
          <w:numId w:val="8"/>
        </w:numPr>
        <w:spacing w:line="360"/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기업명: 하이드로젠텍 주식회사</w:t>
      </w:r>
    </w:p>
    <w:p>
      <w:pPr>
        <w:pStyle w:val="a1"/>
        <w:numPr>
          <w:ilvl w:val="0"/>
          <w:numId w:val="8"/>
        </w:numPr>
        <w:spacing w:line="360"/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대표자: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박도현</w:t>
      </w:r>
    </w:p>
    <w:p>
      <w:pPr>
        <w:pStyle w:val="a1"/>
        <w:numPr>
          <w:ilvl w:val="0"/>
          <w:numId w:val="8"/>
        </w:numPr>
        <w:spacing w:line="360"/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사업장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서울특별시 성동구 성수동 1가 101, 에코밸리타워 6층</w:t>
      </w:r>
    </w:p>
    <w:p>
      <w:pPr>
        <w:pStyle w:val="a1"/>
        <w:numPr>
          <w:ilvl w:val="0"/>
          <w:numId w:val="8"/>
        </w:numPr>
        <w:spacing w:line="360"/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사업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수소 생산 모듈 개발 및 분산형 연료전지 시스템 공급</w:t>
      </w:r>
    </w:p>
    <w:p>
      <w:pPr>
        <w:pStyle w:val="a1"/>
        <w:numPr>
          <w:ilvl w:val="0"/>
          <w:numId w:val="8"/>
        </w:numPr>
        <w:spacing w:line="360"/>
        <w:rPr>
          <w:lang/>
          <w:rFonts w:ascii="함초롬바탕" w:eastAsia="함초롬바탕" w:hAnsi="함초롬바탕" w:cs="함초롬바탕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고객사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그린시티빌딩, 에코모빌리티, 넥스트홈에너지 등 (스타트업·지자체 중심)</w:t>
      </w:r>
    </w:p>
    <w:p>
      <w:pPr>
        <w:pStyle w:val="a1"/>
        <w:numPr>
          <w:ilvl w:val="0"/>
          <w:numId w:val="9"/>
        </w:numPr>
        <w:spacing w:line="360"/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주주 구성: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창업팀 및 특수관계인: 40%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초기 VC/엔젤투자자: 25%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전략적 투자자(SI): 10%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임직원 스톡옵션: 15%</w:t>
      </w:r>
    </w:p>
    <w:p>
      <w:pPr>
        <w:pStyle w:val="a1"/>
        <w:ind w:leftChars="0"/>
        <w:numPr>
          <w:ilvl w:val="1"/>
          <w:numId w:val="9"/>
        </w:numPr>
        <w:spacing w:line="360"/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기타 소액주주: 10%</w:t>
      </w:r>
    </w:p>
    <w:p>
      <w:pPr>
        <w:pStyle w:val="a1"/>
        <w:numPr>
          <w:ilvl w:val="0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사업 규모 (2024 기준)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매출: 18억 원</w:t>
      </w:r>
    </w:p>
    <w:p>
      <w:pPr>
        <w:pStyle w:val="a1"/>
        <w:numPr>
          <w:ilvl w:val="1"/>
          <w:numId w:val="9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영업이익: 1억 5천만 원</w:t>
      </w:r>
    </w:p>
    <w:p>
      <w:pPr>
        <w:pStyle w:val="a1"/>
        <w:numPr>
          <w:ilvl w:val="1"/>
          <w:numId w:val="9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직원 수: 22명</w:t>
      </w:r>
    </w:p>
    <w:p>
      <w:pPr>
        <w:spacing w:line="360"/>
        <w:rPr>
          <w:rFonts w:ascii="함초롬바탕" w:eastAsia="함초롬바탕" w:hAnsi="함초롬바탕" w:cs="함초롬바탕" w:hint="default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경영진 및 지배 구조</w:t>
            </w:r>
          </w:p>
        </w:tc>
      </w:tr>
    </w:tbl>
    <w:p>
      <w:pPr>
        <w:pStyle w:val="a1"/>
        <w:numPr>
          <w:ilvl w:val="0"/>
          <w:numId w:val="10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이사회 구성</w:t>
      </w:r>
    </w:p>
    <w:p>
      <w:pPr>
        <w:pStyle w:val="a1"/>
        <w:numPr>
          <w:ilvl w:val="1"/>
          <w:numId w:val="10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CEO 박도현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에너지 정책 연구원 출신, 사업 전략 및 조직 운영 총괄</w:t>
      </w:r>
    </w:p>
    <w:p>
      <w:pPr>
        <w:pStyle w:val="a1"/>
        <w:numPr>
          <w:ilvl w:val="1"/>
          <w:numId w:val="10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CFO 김유진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前 스타트업 CFO 경험, 투자유치 및 재무관리 담당</w:t>
      </w:r>
    </w:p>
    <w:p>
      <w:pPr>
        <w:pStyle w:val="a1"/>
        <w:numPr>
          <w:ilvl w:val="1"/>
          <w:numId w:val="1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CTO 이지훈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연료전지 소재 박사 출신, 수소 모듈 기술개발 및 R&amp;D 주도</w:t>
      </w:r>
    </w:p>
    <w:p>
      <w:pPr>
        <w:pStyle w:val="a1"/>
        <w:numPr>
          <w:ilvl w:val="0"/>
          <w:numId w:val="1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주주 현황 (CONFIDENTIAL):</w:t>
      </w:r>
    </w:p>
    <w:p>
      <w:pPr>
        <w:pStyle w:val="a1"/>
        <w:numPr>
          <w:ilvl w:val="1"/>
          <w:numId w:val="1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창업주 및 특수관계인: 1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6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%</w:t>
      </w:r>
    </w:p>
    <w:p>
      <w:pPr>
        <w:pStyle w:val="a1"/>
        <w:numPr>
          <w:ilvl w:val="1"/>
          <w:numId w:val="1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전략적 투자자(SI):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9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%</w:t>
      </w:r>
    </w:p>
    <w:p>
      <w:pPr>
        <w:pStyle w:val="a1"/>
        <w:numPr>
          <w:ilvl w:val="1"/>
          <w:numId w:val="1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재무적 투자자(FI): 1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5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%</w:t>
      </w:r>
    </w:p>
    <w:p>
      <w:pPr>
        <w:pStyle w:val="a1"/>
        <w:numPr>
          <w:ilvl w:val="1"/>
          <w:numId w:val="1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임직원 스톡옵션: 1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9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%</w:t>
      </w:r>
    </w:p>
    <w:p>
      <w:pPr>
        <w:pStyle w:val="a1"/>
        <w:numPr>
          <w:ilvl w:val="0"/>
          <w:numId w:val="1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지배 구조 특징:</w:t>
      </w:r>
    </w:p>
    <w:p>
      <w:pPr>
        <w:pStyle w:val="a1"/>
        <w:numPr>
          <w:ilvl w:val="0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창업팀 중심의 안정적인 경영권 구조를 유지.</w:t>
      </w:r>
    </w:p>
    <w:p>
      <w:pPr>
        <w:pStyle w:val="a1"/>
        <w:numPr>
          <w:ilvl w:val="0"/>
          <w:numId w:val="11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특정 투자자의 경영 참여를 위한 의결권 차등은 없음.</w:t>
      </w:r>
    </w:p>
    <w:p>
      <w:pPr>
        <w:pStyle w:val="a1"/>
        <w:numPr>
          <w:ilvl w:val="0"/>
          <w:numId w:val="11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투명한 경영을 위해 사외이사 2명 포함, 외부 의견을 경영 의사결정에 적극 반영.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투자 포인트 요약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하이드로젠텍은 수소 에너지 시장에서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지속 가능한 성장 동력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확보한 초기 선도 기업으로 평가된다.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핵심 기술력과 안정적인 사업 구조를 기반으로 투자 매력도가 높은 기업이다.</w:t>
      </w:r>
    </w:p>
    <w:p>
      <w:pPr>
        <w:pStyle w:val="a1"/>
        <w:numPr>
          <w:ilvl w:val="0"/>
          <w:numId w:val="12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견조한 성장세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2023년 매출은 전년 대비 약 50% 증가(12억 원 → 18억 원).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이는 동종 스타트업 평균 성장률(약 30%)을 상회하는 수치로, 성장 모멘텀이 강화되고 있음을 의미한다.</w:t>
      </w:r>
    </w:p>
    <w:p>
      <w:pPr>
        <w:pStyle w:val="a1"/>
        <w:numPr>
          <w:ilvl w:val="0"/>
          <w:numId w:val="12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높은 수익률 가능성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2024년 예상 영업이익률은 약 8~10% 수준.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소규모 프로젝트 중심의 매출 구조에도 불구하고, 효율적인 비용 관리와 모듈 표준화 덕분에 단기간 내 손익분기점을 돌파했다.</w:t>
      </w:r>
    </w:p>
    <w:p>
      <w:pPr>
        <w:pStyle w:val="a1"/>
        <w:numPr>
          <w:ilvl w:val="0"/>
          <w:numId w:val="12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독점적 기술력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경량화된 고효율 수소 연료전지 모듈을 개발, 경쟁사 대비 설치 용이성과 성능 우위를 확보.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이 기술은 2025~2026년 본격적인 상용화 과정에서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시장 진입 장벽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높이는 핵심 자산이 될 전망이다.</w:t>
      </w:r>
    </w:p>
    <w:p>
      <w:pPr>
        <w:pStyle w:val="a1"/>
        <w:numPr>
          <w:ilvl w:val="0"/>
          <w:numId w:val="12"/>
        </w:numPr>
        <w:rPr>
          <w:lang w:eastAsia="ko-KR"/>
          <w:rFonts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안정적인 수익 모델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지자체 및 건축사무소와 장기 유지보수 계약 체결 → 반복적 현금 흐름 창출.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유지보수 매출 비중은 전체 매출의 약 25% 수준으로, 외부 경기 변동에도 흔들리지 않는 사업 안정성을 제공.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Ⅱ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  <w:shd w:val="clear" w:color="000000" w:fill="auto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사업 및 재무 분석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4"/>
          <w:szCs w:val="24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핵심 사업 부문 분석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하이드로젠텍의 핵심 사업 부문은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소규모 분산형 수소 에너지 생산 및 판매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이다.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이는 친환경 에너지 공급을 통해 지속 가능한 사회 구현에 기여한다.</w:t>
      </w:r>
    </w:p>
    <w:p>
      <w:pPr>
        <w:pStyle w:val="a1"/>
        <w:numPr>
          <w:ilvl w:val="0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제품 및 서비스</w:t>
      </w:r>
    </w:p>
    <w:p>
      <w:pPr>
        <w:pStyle w:val="a1"/>
        <w:numPr>
          <w:ilvl w:val="1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소형 수소 연료전지 모듈 (5~50kW급)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건축물, 공공시설, 소규모 산업 현장에서 고효율 전력 공급 가능</w:t>
      </w:r>
    </w:p>
    <w:p>
      <w:pPr>
        <w:pStyle w:val="a1"/>
        <w:numPr>
          <w:ilvl w:val="1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수소 생산 설비 패키지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안전성과 효율성을 강화한 자체 설계 시스템, 소규모 현장 적용에 최적화</w:t>
      </w:r>
    </w:p>
    <w:p>
      <w:pPr>
        <w:pStyle w:val="a1"/>
        <w:numPr>
          <w:ilvl w:val="1"/>
          <w:numId w:val="13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모니터링 및 유지보수 서비스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클라우드 기반 원격 모니터링으로 운영 효율성 극대화</w:t>
      </w:r>
    </w:p>
    <w:p>
      <w:pPr>
        <w:pStyle w:val="a1"/>
        <w:numPr>
          <w:ilvl w:val="0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경쟁 우위</w:t>
      </w:r>
    </w:p>
    <w:p>
      <w:pPr>
        <w:pStyle w:val="a1"/>
        <w:numPr>
          <w:ilvl w:val="1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차별화된 경쟁력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경량화 설계와 표준화된 모듈로 설치 용이성 확보 → 경쟁사 대비 비용 절감 효과 15% 이상</w:t>
      </w:r>
    </w:p>
    <w:p>
      <w:pPr>
        <w:pStyle w:val="a1"/>
        <w:numPr>
          <w:ilvl w:val="1"/>
          <w:numId w:val="13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시장 내 위치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2024년 기준, 국내 소형 수소 모듈 시장에서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약 3~4%의 점유율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확보. 초기 기업임에도 빠르게 인지도를 확장 중</w:t>
      </w:r>
    </w:p>
    <w:p>
      <w:pPr>
        <w:pStyle w:val="a1"/>
        <w:numPr>
          <w:ilvl w:val="0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성장 동력</w:t>
      </w:r>
    </w:p>
    <w:p>
      <w:pPr>
        <w:pStyle w:val="a1"/>
        <w:numPr>
          <w:ilvl w:val="1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신규 시장 진출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일본 및 동남아 시장에서 건물용 연료전지 파일럿 프로젝트 진행 예정</w:t>
      </w:r>
    </w:p>
    <w:p>
      <w:pPr>
        <w:pStyle w:val="a1"/>
        <w:numPr>
          <w:ilvl w:val="1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기술 고도화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차세대 촉매 및 경량화 기술을 적용해 생산 효율성 향상 추진</w:t>
      </w:r>
    </w:p>
    <w:p>
      <w:pPr>
        <w:pStyle w:val="a1"/>
        <w:numPr>
          <w:ilvl w:val="1"/>
          <w:numId w:val="13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정책 수혜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정부 및 지자체의 탄소중립·수소경제 로드맵 지원 정책에 따른 수혜 가능성 확대</w:t>
      </w:r>
    </w:p>
    <w:p>
      <w:pP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재무 성과 및 추이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하이드로젠텍은 최근 3년간 꾸준히 매출을 확대하며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흑자 전환 국면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에 진입했다.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특히 2024년 기준으로 손익분기점을 넘어 안정적인 성장 기반을 확보했다.</w:t>
      </w:r>
    </w:p>
    <w:p>
      <w:pPr>
        <w:pStyle w:val="a1"/>
        <w:numPr>
          <w:ilvl w:val="0"/>
          <w:numId w:val="14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 및 영업이익 추이</w:t>
      </w:r>
    </w:p>
    <w:tbl>
      <w:tblPr>
        <w:tblStyle w:val="b0"/>
        <w:tblLook w:val="04A0" w:firstRow="1" w:lastRow="0" w:firstColumn="1" w:lastColumn="0" w:noHBand="0" w:noVBand="1"/>
        <w:tblLayout w:type="autofit"/>
      </w:tblPr>
      <w:tblGrid>
        <w:gridCol w:w="2214"/>
        <w:gridCol w:w="2214"/>
        <w:gridCol w:w="2214"/>
        <w:gridCol w:w="221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2022년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2023년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2024년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매출액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8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12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18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-1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0.5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1.5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순이익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-2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0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</w:t>
            </w:r>
          </w:p>
        </w:tc>
      </w:tr>
    </w:tbl>
    <w:p>
      <w:pPr>
        <w:pStyle w:val="a1"/>
        <w:numPr>
          <w:ilvl w:val="1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2022년 적자 상태였으나, 2023년 소규모 흑자 전환에 성공.</w:t>
      </w:r>
    </w:p>
    <w:p>
      <w:pPr>
        <w:pStyle w:val="a1"/>
        <w:numPr>
          <w:ilvl w:val="1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2024년에는 매출 18억 원, 순이익 1억 원을 기록하며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안정적인 성장세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를 입증.</w:t>
      </w:r>
    </w:p>
    <w:p>
      <w:pPr>
        <w:pStyle w:val="a1"/>
        <w:numPr>
          <w:ilvl w:val="1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연평균 성장률(CAGR) 약 50%로, 동종 스타트업 평균(30%)을 상회.</w:t>
      </w:r>
    </w:p>
    <w:p>
      <w:pPr>
        <w:pStyle w:val="a1"/>
        <w:numPr>
          <w:ilvl w:val="0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재무 비율 분석</w:t>
      </w:r>
    </w:p>
    <w:p>
      <w:pPr>
        <w:pStyle w:val="a1"/>
        <w:numPr>
          <w:ilvl w:val="1"/>
          <w:numId w:val="14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수익성 지표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: </w:t>
      </w:r>
    </w:p>
    <w:p>
      <w:pPr>
        <w:pStyle w:val="a1"/>
        <w:ind w:leftChars="0" w:left="1200"/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2024년 순이익률 약 6% 달성.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</w:p>
    <w:p>
      <w:pPr>
        <w:pStyle w:val="a1"/>
        <w:ind w:leftChars="0" w:left="1200"/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향후 신제품 출시와 원가 효율화로 10% 이상 개선 가능.</w:t>
      </w:r>
    </w:p>
    <w:p>
      <w:pPr>
        <w:pStyle w:val="a1"/>
        <w:numPr>
          <w:ilvl w:val="1"/>
          <w:numId w:val="14"/>
        </w:numPr>
        <w:rPr>
          <w:lang w:eastAsia="ko-KR"/>
          <w:rFonts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안정성 지표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</w:p>
    <w:p>
      <w:pPr>
        <w:pStyle w:val="a1"/>
        <w:ind w:leftChars="0" w:left="1200"/>
        <w:rPr>
          <w:lang w:eastAsia="ko-KR"/>
          <w:rFonts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부채비율: 약 45% 수준 → 업계 평균(70%) 대비 안정적.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유동비율: 120%로 단기 지급 능력 확보.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비용 구조 및 수익성</w:t>
            </w:r>
          </w:p>
        </w:tc>
      </w:tr>
    </w:tbl>
    <w:p>
      <w:pPr>
        <w:pStyle w:val="a1"/>
        <w:numPr>
          <w:ilvl w:val="0"/>
          <w:numId w:val="1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매출원가 및 판관비 상세 분석</w:t>
      </w:r>
    </w:p>
    <w:p>
      <w:pPr>
        <w:pStyle w:val="a1"/>
        <w:numPr>
          <w:ilvl w:val="1"/>
          <w:numId w:val="1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매출원가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최근 3년간 원가율은 평균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60~65%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수준.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생산 효율성 개선 및 소규모 자동화 설비 도입으로 점진적 하락세.</w:t>
      </w:r>
    </w:p>
    <w:p>
      <w:pPr>
        <w:pStyle w:val="a1"/>
        <w:numPr>
          <w:ilvl w:val="1"/>
          <w:numId w:val="1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판매관리비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주로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마케팅·R&amp;D 비용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으로 구성.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신규 고객 확보를 위해 온라인·오프라인 마케팅 비용이 전년 대비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50% 증가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R&amp;D는 전체 비용의 20% 수준을 차지하며, 기술력 강화에 집중.</w:t>
      </w:r>
    </w:p>
    <w:p>
      <w:pPr>
        <w:pStyle w:val="a1"/>
        <w:numPr>
          <w:ilvl w:val="0"/>
          <w:numId w:val="1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인건비 효율성</w:t>
      </w:r>
    </w:p>
    <w:p>
      <w:pPr>
        <w:pStyle w:val="a1"/>
        <w:numPr>
          <w:ilvl w:val="1"/>
          <w:numId w:val="1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2024년 기준, 직원 1인당 평균 매출액은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0.9억 원(9천만 원)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.</w:t>
      </w:r>
    </w:p>
    <w:p>
      <w:pPr>
        <w:pStyle w:val="a1"/>
        <w:numPr>
          <w:ilvl w:val="1"/>
          <w:numId w:val="1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업종 초기 스타트업 평균(0.6억 원) 대비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약 50% 높은 생산성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확보.</w:t>
      </w:r>
    </w:p>
    <w:p>
      <w:pPr>
        <w:pStyle w:val="a1"/>
        <w:numPr>
          <w:ilvl w:val="1"/>
          <w:numId w:val="1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이는 핵심 인력 중심의 소규모 조직 운영 효율성을 반영.</w:t>
      </w:r>
    </w:p>
    <w:p>
      <w:pPr>
        <w:pStyle w:val="a1"/>
        <w:numPr>
          <w:ilvl w:val="0"/>
          <w:numId w:val="1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손익분기점 분석</w:t>
      </w:r>
    </w:p>
    <w:p>
      <w:pPr>
        <w:pStyle w:val="a1"/>
        <w:numPr>
          <w:ilvl w:val="1"/>
          <w:numId w:val="1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하이드로젠텍의 손익분기점(BEP) 매출액은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10억 원 수준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.</w:t>
      </w:r>
    </w:p>
    <w:p>
      <w:pPr>
        <w:pStyle w:val="a1"/>
        <w:numPr>
          <w:ilvl w:val="1"/>
          <w:numId w:val="1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현재 매출(18억 원 기준) 대비 여유 구간을 확보,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 변동에도 안정적 수익성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유지 가능.</w:t>
      </w:r>
    </w:p>
    <w:p>
      <w:pPr>
        <w:pStyle w:val="a1"/>
        <w:numPr>
          <w:ilvl w:val="1"/>
          <w:numId w:val="15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핵심 제품인 수소 연료전지 모듈의 영업이익률은 약 15%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수준으로, 내부 목표치인 20%에 근접.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Ⅱ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  <w:shd w:val="clear" w:color="000000" w:fill="auto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산업 및 시장 동향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시장 규모</w:t>
            </w:r>
          </w:p>
        </w:tc>
      </w:tr>
    </w:tbl>
    <w:p>
      <w:pPr>
        <w:pStyle w:val="a1"/>
        <w:numPr>
          <w:ilvl w:val="0"/>
          <w:numId w:val="16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TAM </w:t>
      </w:r>
    </w:p>
    <w:p>
      <w:pPr>
        <w:pStyle w:val="a1"/>
        <w:numPr>
          <w:ilvl w:val="1"/>
          <w:numId w:val="16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수소 에너지 전체 시장 규모는 약 300억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으로 추산.</w:t>
      </w:r>
    </w:p>
    <w:p>
      <w:pPr>
        <w:pStyle w:val="a1"/>
        <w:numPr>
          <w:ilvl w:val="1"/>
          <w:numId w:val="16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2023~2026년 동안 연평균 20% 성장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 예상되며, 글로벌 친환경 정책 강화와 수소 경제 확산에 따라 장기적으로 시장 확대 여력이 큼.</w:t>
      </w:r>
    </w:p>
    <w:p>
      <w:pPr>
        <w:pStyle w:val="a1"/>
        <w:numPr>
          <w:ilvl w:val="0"/>
          <w:numId w:val="16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SAM</w:t>
      </w:r>
    </w:p>
    <w:p>
      <w:pPr>
        <w:pStyle w:val="a1"/>
        <w:numPr>
          <w:ilvl w:val="1"/>
          <w:numId w:val="16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하이드로젠텍이 실제 제공 가능한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산업용 수소 시장 규모는 약 500억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.</w:t>
      </w:r>
    </w:p>
    <w:p>
      <w:pPr>
        <w:pStyle w:val="a1"/>
        <w:numPr>
          <w:ilvl w:val="1"/>
          <w:numId w:val="16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주 고객층은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대기업 및 공공기관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으로, 고효율 연료전지 도입을 통한 ESG 경영 강화 수요 증가가 기대됨.</w:t>
      </w:r>
    </w:p>
    <w:p>
      <w:pPr>
        <w:pStyle w:val="a1"/>
        <w:numPr>
          <w:ilvl w:val="0"/>
          <w:numId w:val="16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SOM</w:t>
      </w:r>
    </w:p>
    <w:p>
      <w:pPr>
        <w:pStyle w:val="a1"/>
        <w:numPr>
          <w:ilvl w:val="1"/>
          <w:numId w:val="16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단기적으로 하이드로젠텍이 현실적으로 점유할 수 있는 시장 규모는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약 250억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수준.</w:t>
      </w:r>
    </w:p>
    <w:p>
      <w:pPr>
        <w:pStyle w:val="a1"/>
        <w:numPr>
          <w:ilvl w:val="1"/>
          <w:numId w:val="16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이는 초기 공급 계약 및 기술 차별성을 바탕으로 확보 가능한 수치.</w:t>
      </w:r>
    </w:p>
    <w:p>
      <w:pPr>
        <w:pStyle w:val="a1"/>
        <w:numPr>
          <w:ilvl w:val="0"/>
          <w:numId w:val="16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내부 시장 분석 (CONFIDENTIAL)</w:t>
      </w:r>
    </w:p>
    <w:p>
      <w:pPr>
        <w:pStyle w:val="a1"/>
        <w:numPr>
          <w:ilvl w:val="1"/>
          <w:numId w:val="16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내부 시뮬레이션에 따르면,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2023~2026년 내 하이드로젠텍의 수소 연료전지 시스템이 상용화될 경우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,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실질 점유 가능 시장은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100억 원 규모로 확장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될 전망.</w:t>
      </w:r>
    </w:p>
    <w:p>
      <w:pPr>
        <w:pStyle w:val="a1"/>
        <w:numPr>
          <w:ilvl w:val="1"/>
          <w:numId w:val="16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서울 지역 수소 기반 발전 사업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참여 시, 시장 점유율이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추가로 90% 이상 상승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할 가능성 존재.</w:t>
      </w:r>
    </w:p>
    <w:p>
      <w:pPr>
        <w:rPr>
          <w:lang w:eastAsia="ko-KR"/>
          <w:rFonts w:hint="eastAsia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산업 성장성 분석</w:t>
            </w:r>
          </w:p>
        </w:tc>
      </w:tr>
    </w:tbl>
    <w:p>
      <w:pPr>
        <w:pStyle w:val="a1"/>
        <w:numPr>
          <w:ilvl w:val="0"/>
          <w:numId w:val="17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기술 혁신</w:t>
      </w:r>
    </w:p>
    <w:p>
      <w:pPr>
        <w:pStyle w:val="a1"/>
        <w:numPr>
          <w:ilvl w:val="1"/>
          <w:numId w:val="17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차세대 수소 생산 기술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과 같은 첨단 기술의 상용화가 본격화되면서 수소 에너지의 적용 범위가 확대되고 있음.</w:t>
      </w:r>
    </w:p>
    <w:p>
      <w:pPr>
        <w:pStyle w:val="a1"/>
        <w:numPr>
          <w:ilvl w:val="1"/>
          <w:numId w:val="17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특히,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고효율 수소 연료전지 및 수전해 기술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은 기존 화석연료 대비 경쟁력을 강화하여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산업·교통·발전 부문 전반으로 확산 가능성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 높음.</w:t>
      </w:r>
    </w:p>
    <w:p>
      <w:pPr>
        <w:pStyle w:val="a1"/>
        <w:numPr>
          <w:ilvl w:val="0"/>
          <w:numId w:val="17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정책적 지원</w:t>
      </w:r>
    </w:p>
    <w:p>
      <w:pPr>
        <w:pStyle w:val="a1"/>
        <w:numPr>
          <w:ilvl w:val="1"/>
          <w:numId w:val="17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정부의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녹색성장 정책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과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탄소중립 목표(2050 Net Zero)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추진은 수소 산업 육성을 위한 제도적 기반을 강화.</w:t>
      </w:r>
    </w:p>
    <w:p>
      <w:pPr>
        <w:pStyle w:val="a1"/>
        <w:numPr>
          <w:ilvl w:val="1"/>
          <w:numId w:val="17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이에 따라,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R&amp;D 세제 혜택, 보조금 지원, 수소 인프라 구축 정책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등이 확대되고 있으며, 이는 기업들의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신규 투자 및 기술 개발 촉진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으로 이어짐.</w:t>
      </w:r>
    </w:p>
    <w:p>
      <w:pPr>
        <w:pStyle w:val="a1"/>
        <w:numPr>
          <w:ilvl w:val="0"/>
          <w:numId w:val="17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수요 변화</w:t>
      </w:r>
    </w:p>
    <w:p>
      <w:pPr>
        <w:pStyle w:val="a1"/>
        <w:numPr>
          <w:ilvl w:val="1"/>
          <w:numId w:val="17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ESG 경영 확산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및 글로벌 기업들의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탈탄소 선언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에 따라 수소 에너지 수요가 빠르게 증가.</w:t>
      </w:r>
    </w:p>
    <w:p>
      <w:pPr>
        <w:pStyle w:val="a1"/>
        <w:numPr>
          <w:ilvl w:val="1"/>
          <w:numId w:val="17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산업용 전력, 수소차, 발전소 연료 등 다양한 영역에서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친환경 에너지 채택률이 상승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하고 있으며, 이는 향후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산업 전반의 성장 촉매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로 작용할 전망.</w:t>
      </w: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경쟁 환경 분석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경쟁사 분석</w:t>
      </w:r>
    </w:p>
    <w:p>
      <w:pPr>
        <w:pStyle w:val="a1"/>
        <w:numPr>
          <w:ilvl w:val="0"/>
          <w:numId w:val="1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그린에너지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다양한 제품 라인업과 강력한 마케팅 역량을 바탕으로 시장 점유율을 확보. 그러나 최근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생산 비용 증가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로 인해 일부 점유율이 하락.</w:t>
      </w:r>
    </w:p>
    <w:p>
      <w:pPr>
        <w:pStyle w:val="a1"/>
        <w:numPr>
          <w:ilvl w:val="0"/>
          <w:numId w:val="18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솔라솔루션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가격 경쟁력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을 앞세워 중소기업 시장에서 확고한 입지를 구축. 다만,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기술력 부족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 장기 성장의 걸림돌로 작용.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경쟁사 지표 비교</w:t>
      </w:r>
    </w:p>
    <w:tbl>
      <w:tblPr>
        <w:tblStyle w:val="b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348"/>
        <w:gridCol w:w="2041"/>
        <w:gridCol w:w="2041"/>
        <w:gridCol w:w="204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구분</w:t>
            </w:r>
          </w:p>
        </w:tc>
        <w:tc>
          <w:tcPr>
            <w:tcW w:w="2041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하이드로젠텍</w:t>
            </w:r>
          </w:p>
        </w:tc>
        <w:tc>
          <w:tcPr>
            <w:tcW w:w="2041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그린에너지</w:t>
            </w:r>
          </w:p>
        </w:tc>
        <w:tc>
          <w:tcPr>
            <w:tcW w:w="2041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솔라솔루션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시장 점유율(%)</w:t>
            </w:r>
          </w:p>
        </w:tc>
        <w:tc>
          <w:tcPr>
            <w:tcW w:w="2041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10%</w:t>
            </w:r>
          </w:p>
        </w:tc>
        <w:tc>
          <w:tcPr>
            <w:tcW w:w="2041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15%</w:t>
            </w:r>
          </w:p>
        </w:tc>
        <w:tc>
          <w:tcPr>
            <w:tcW w:w="2041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20%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영업이익률(%)</w:t>
            </w:r>
          </w:p>
        </w:tc>
        <w:tc>
          <w:tcPr>
            <w:tcW w:w="2041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12%</w:t>
            </w:r>
          </w:p>
        </w:tc>
        <w:tc>
          <w:tcPr>
            <w:tcW w:w="2041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10%</w:t>
            </w:r>
          </w:p>
        </w:tc>
        <w:tc>
          <w:tcPr>
            <w:tcW w:w="2041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8%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직원 1인당 생산성</w:t>
            </w:r>
          </w:p>
        </w:tc>
        <w:tc>
          <w:tcPr>
            <w:tcW w:w="2041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높음</w:t>
            </w:r>
          </w:p>
        </w:tc>
        <w:tc>
          <w:tcPr>
            <w:tcW w:w="2041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보통</w:t>
            </w:r>
          </w:p>
        </w:tc>
        <w:tc>
          <w:tcPr>
            <w:tcW w:w="2041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낮음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주요 타겟 시장</w:t>
            </w:r>
          </w:p>
        </w:tc>
        <w:tc>
          <w:tcPr>
            <w:tcW w:w="2041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산업용 수소 설비·대기업</w:t>
            </w:r>
          </w:p>
        </w:tc>
        <w:tc>
          <w:tcPr>
            <w:tcW w:w="2041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친환경 프로젝트·공공기관</w:t>
            </w:r>
          </w:p>
        </w:tc>
        <w:tc>
          <w:tcPr>
            <w:tcW w:w="2041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중소형 건물·지자체</w:t>
            </w:r>
          </w:p>
        </w:tc>
      </w:tr>
    </w:tbl>
    <w:p>
      <w:pPr>
        <w:pStyle w:val="a1"/>
        <w:numPr>
          <w:ilvl w:val="0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내부 경쟁 전략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내부 분석 결과,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그린에너지의 브랜드 인지도 약세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로 인해 향후 6개월 내 시장 점유율이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10% 하락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할 가능성이 있음.</w:t>
      </w:r>
    </w:p>
    <w:p>
      <w:pPr>
        <w:pStyle w:val="a1"/>
        <w:numPr>
          <w:ilvl w:val="1"/>
          <w:numId w:val="19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하이드로젠텍은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고효율 수소 연료전지 신제품 출시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를 통해 솔라솔루션의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핵심 고객군을 공략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, 시장 점유율을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최대 30% 추가 확보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할 계획.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Ⅲ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  <w:shd w:val="clear" w:color="000000" w:fill="auto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리스크 및 기회 요인</w:t>
            </w:r>
          </w:p>
        </w:tc>
      </w:tr>
    </w:tbl>
    <w:p>
      <w:pPr>
        <w:rPr/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주요 리스크 요인</w:t>
            </w:r>
          </w:p>
        </w:tc>
      </w:tr>
    </w:tbl>
    <w:p>
      <w:pPr>
        <w:pStyle w:val="a1"/>
        <w:numPr>
          <w:ilvl w:val="0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경쟁 심화 및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시장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포화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리스크 내용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대기업 계열/해외 업체의 진입으로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단가 인하 압력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확대, 프로젝트 수주 경쟁 격화.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마진 축소(영업이익률 -2~-3%p), 수주 성공률 하락, 설치 후 A/S 부담 증가.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대응 전략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니치 세그먼트 집중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5~50kW급 분산형·도심형 현장 특화, 설계/인허가 패키지로 차별화.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서비스 수익 비중 확대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O&amp;M/모니터링 SaaS 매출을 2026년까지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3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0%까지 확대 목표.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견적 규율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프로젝트별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최저 허용 마진(&gt;12%)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설정 및 미달 시 고위험 필터링.</w:t>
      </w:r>
    </w:p>
    <w:p>
      <w:pPr>
        <w:pStyle w:val="a1"/>
        <w:numPr>
          <w:ilvl w:val="0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기술 변화·인증/규제 리스크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리스크 내용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연료전지 수명/효율 경쟁, 촉매 대체기술 등장,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국내외 안전·성능 인증(KS/IEC/CE)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요건 강화.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제품 경쟁력 약화, 인증 지연에 따른 매출 인식 지연, 추가 R&amp;D·시험 비용 발생.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대응 전략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로드맵 이중화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현행 모듈(Gen1) 안정화와 병행해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경량 촉매·내구성 개선 Gen2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PoC 분기별 진행.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사전 인증 트랙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파일럿 단계부터 인증기관과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사전 적합성 확인(Pre-assessment)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, 규제 변화 모니터링 체계 구축.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파트너링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대학/연구소·검인증 기관과 공동 시험, 인증 리드타임 20% 단축 목표.</w:t>
      </w:r>
    </w:p>
    <w:p>
      <w:pPr>
        <w:pStyle w:val="a1"/>
        <w:numPr>
          <w:ilvl w:val="0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주요 고색사 의존도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리스크 내용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상위 5개 고객에 매출 58%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편중. 특정 프로젝트 연기/해지 시 현금흐름 변동성 확대.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단기 매출 공백, 미수 증가, 재무적 신뢰도 저하.</w:t>
      </w:r>
    </w:p>
    <w:p>
      <w:pPr>
        <w:pStyle w:val="a1"/>
        <w:numPr>
          <w:ilvl w:val="1"/>
          <w:numId w:val="20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대응 전략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포트폴리오 분산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연말까지 신규 중소 고객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20개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확보, 상위 3개 고객 매출 비중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≤35%로 축소.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채널 전략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지역 EPC/설비사와 리셀러 계약 5건 체결, 소규모 반복수주 파이프라인 확보.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계약 구조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선금·중도금 비중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≥60%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, 유지보수 2~3년 의무조항 포함.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성장 기회 및 미래 전략</w:t>
            </w:r>
          </w:p>
        </w:tc>
      </w:tr>
    </w:tbl>
    <w:p>
      <w:pPr>
        <w:pStyle w:val="a1"/>
        <w:numPr>
          <w:ilvl w:val="0"/>
          <w:numId w:val="21"/>
        </w:numPr>
        <w:tabs>
          <w:tab w:val="left" w:pos="1270"/>
        </w:tabs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  <w:t>신규 시장 진출</w:t>
      </w:r>
    </w:p>
    <w:p>
      <w:pPr>
        <w:pStyle w:val="a1"/>
        <w:numPr>
          <w:ilvl w:val="1"/>
          <w:numId w:val="21"/>
        </w:numPr>
        <w:tabs>
          <w:tab w:val="left" w:pos="1270"/>
        </w:tabs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전략 내용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국내 시장에서의 성과를 기반으로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미국 시장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에 본격 진출 계획. 현지 에너지 기업인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파워넥스트와 독점 파트너십 체결을 추진하여 현지 EPC·운영 네트워크를 활용.</w:t>
      </w:r>
    </w:p>
    <w:p>
      <w:pPr>
        <w:pStyle w:val="a1"/>
        <w:numPr>
          <w:ilvl w:val="1"/>
          <w:numId w:val="21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예상 효과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향후 3년간 미국 시장에서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연평균 20% 매출 성장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을 달성하고, 전체 매출의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40%를 해외 시장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에서 창출할 것으로 기대.</w:t>
      </w:r>
    </w:p>
    <w:p>
      <w:pPr>
        <w:pStyle w:val="a1"/>
        <w:numPr>
          <w:ilvl w:val="0"/>
          <w:numId w:val="2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제품 포트폴리오 확장</w:t>
      </w:r>
    </w:p>
    <w:p>
      <w:pPr>
        <w:pStyle w:val="a1"/>
        <w:numPr>
          <w:ilvl w:val="1"/>
          <w:numId w:val="2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전략 내용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기존 1세대 연료전지 솔루션을 보완하는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고효율 2세대 수소 연료전지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를 개발 중. 약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25억 원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규모의 R&amp;D 예산을 투입하여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2024년 6월 상용화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를 목표로 함.</w:t>
      </w:r>
    </w:p>
    <w:p>
      <w:pPr>
        <w:pStyle w:val="a1"/>
        <w:numPr>
          <w:ilvl w:val="1"/>
          <w:numId w:val="21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예상 효과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신규 제품 출시를 통해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발전 효율 20% 개선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시장 지배력 강화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, 중·대형 프로젝트 수주 경쟁력 제고.</w:t>
      </w:r>
    </w:p>
    <w:p>
      <w:pPr>
        <w:pStyle w:val="a1"/>
        <w:numPr>
          <w:ilvl w:val="0"/>
          <w:numId w:val="2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전략적 제휴</w:t>
      </w:r>
    </w:p>
    <w:p>
      <w:pPr>
        <w:pStyle w:val="a1"/>
        <w:numPr>
          <w:ilvl w:val="1"/>
          <w:numId w:val="2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전략 내용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신재생에너지 분야 선두 기업인 에코퓨처와 전략적 제휴 협의 중. 양사의 기술력과 영업 네트워크를 결합하여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수소 충전소 구축 및 O&amp;M(운영·유지보수) 사업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공동 개발 예정.</w:t>
      </w:r>
    </w:p>
    <w:p>
      <w:pPr>
        <w:pStyle w:val="a1"/>
        <w:numPr>
          <w:ilvl w:val="1"/>
          <w:numId w:val="21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예상 효과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제휴를 통해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시장 내 경쟁 우위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를 확보하고, 향후 5년간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약 80억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의 추가 매출 창출이 예상됨.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Ⅳ</w:t>
            </w:r>
            <w:r>
              <w:rPr>
                <w:rFonts w:ascii="HY견명조"/>
                <w:b/>
                <w:color w:val="FFFFFF"/>
                <w:sz w:val="42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>벨류에이션 및 결론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가치 평가 모델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DCF(현금흐름할인법)를 주된 방법론으로 적용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DCF 모델 핵심 가정 (스타트업 버전)</w:t>
      </w:r>
    </w:p>
    <w:p>
      <w:pPr>
        <w:pStyle w:val="a1"/>
        <w:numPr>
          <w:ilvl w:val="0"/>
          <w:numId w:val="22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매출액 성장률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향후 5년간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연평균 40~50% 성장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가정. (18억에서 5년 뒤 100억 이상 목표)</w:t>
      </w:r>
    </w:p>
    <w:p>
      <w:pPr>
        <w:pStyle w:val="a1"/>
        <w:numPr>
          <w:ilvl w:val="0"/>
          <w:numId w:val="22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영업이익률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2024년 적자에서 시작해 2027년 손익분기점(BEP) 돌파, 2029년까지 15% 수준 개선.</w:t>
      </w:r>
    </w:p>
    <w:p>
      <w:pPr>
        <w:pStyle w:val="a1"/>
        <w:numPr>
          <w:ilvl w:val="0"/>
          <w:numId w:val="22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자본적 지출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매출액 대비 20~25% 수준 유지 (설비 투자·연구개발 중심).</w:t>
      </w:r>
    </w:p>
    <w:p>
      <w:pPr>
        <w:pStyle w:val="a1"/>
        <w:numPr>
          <w:ilvl w:val="0"/>
          <w:numId w:val="22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할인율(WACC)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스타트업 특성상 위험이 높아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15% 적용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.</w:t>
      </w:r>
    </w:p>
    <w:p>
      <w:pPr>
        <w:pStyle w:val="a1"/>
        <w:numPr>
          <w:ilvl w:val="0"/>
          <w:numId w:val="22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영구성장률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장기적으로 산업 평균 반영, 3%로 설정.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내부 현금흐름 추정</w:t>
      </w:r>
    </w:p>
    <w:tbl>
      <w:tblPr>
        <w:tblStyle w:val="b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3290"/>
        <w:gridCol w:w="1085"/>
        <w:gridCol w:w="1085"/>
        <w:gridCol w:w="1085"/>
        <w:gridCol w:w="1085"/>
        <w:gridCol w:w="108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1085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2025</w:t>
            </w:r>
          </w:p>
        </w:tc>
        <w:tc>
          <w:tcPr>
            <w:tcW w:w="1085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2026</w:t>
            </w:r>
          </w:p>
        </w:tc>
        <w:tc>
          <w:tcPr>
            <w:tcW w:w="1085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2027</w:t>
            </w:r>
          </w:p>
        </w:tc>
        <w:tc>
          <w:tcPr>
            <w:tcW w:w="1085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2028</w:t>
            </w:r>
          </w:p>
        </w:tc>
        <w:tc>
          <w:tcPr>
            <w:tcW w:w="1085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2029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 w:val="0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매출액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108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25</w:t>
            </w:r>
          </w:p>
        </w:tc>
        <w:tc>
          <w:tcPr>
            <w:tcW w:w="108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40</w:t>
            </w:r>
          </w:p>
        </w:tc>
        <w:tc>
          <w:tcPr>
            <w:tcW w:w="108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60</w:t>
            </w:r>
          </w:p>
        </w:tc>
        <w:tc>
          <w:tcPr>
            <w:tcW w:w="108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85</w:t>
            </w:r>
          </w:p>
        </w:tc>
        <w:tc>
          <w:tcPr>
            <w:tcW w:w="108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120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 w:val="0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108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-2</w:t>
            </w:r>
          </w:p>
        </w:tc>
        <w:tc>
          <w:tcPr>
            <w:tcW w:w="108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0</w:t>
            </w:r>
          </w:p>
        </w:tc>
        <w:tc>
          <w:tcPr>
            <w:tcW w:w="108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3</w:t>
            </w:r>
          </w:p>
        </w:tc>
        <w:tc>
          <w:tcPr>
            <w:tcW w:w="108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8</w:t>
            </w:r>
          </w:p>
        </w:tc>
        <w:tc>
          <w:tcPr>
            <w:tcW w:w="108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18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 w:val="0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영업이익률 (%)</w:t>
            </w:r>
          </w:p>
        </w:tc>
        <w:tc>
          <w:tcPr>
            <w:tcW w:w="108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-8%</w:t>
            </w:r>
          </w:p>
        </w:tc>
        <w:tc>
          <w:tcPr>
            <w:tcW w:w="108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0%</w:t>
            </w:r>
          </w:p>
        </w:tc>
        <w:tc>
          <w:tcPr>
            <w:tcW w:w="108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5%</w:t>
            </w:r>
          </w:p>
        </w:tc>
        <w:tc>
          <w:tcPr>
            <w:tcW w:w="108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10%</w:t>
            </w:r>
          </w:p>
        </w:tc>
        <w:tc>
          <w:tcPr>
            <w:tcW w:w="108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15%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 w:val="0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영업활동 현금흐름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108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-1</w:t>
            </w:r>
          </w:p>
        </w:tc>
        <w:tc>
          <w:tcPr>
            <w:tcW w:w="108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</w:t>
            </w:r>
          </w:p>
        </w:tc>
        <w:tc>
          <w:tcPr>
            <w:tcW w:w="108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5</w:t>
            </w:r>
          </w:p>
        </w:tc>
        <w:tc>
          <w:tcPr>
            <w:tcW w:w="108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10</w:t>
            </w:r>
          </w:p>
        </w:tc>
        <w:tc>
          <w:tcPr>
            <w:tcW w:w="108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 w:val="0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투자활동 현금흐름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108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-5</w:t>
            </w:r>
          </w:p>
        </w:tc>
        <w:tc>
          <w:tcPr>
            <w:tcW w:w="108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-6</w:t>
            </w:r>
          </w:p>
        </w:tc>
        <w:tc>
          <w:tcPr>
            <w:tcW w:w="108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-8</w:t>
            </w:r>
          </w:p>
        </w:tc>
        <w:tc>
          <w:tcPr>
            <w:tcW w:w="108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-10</w:t>
            </w:r>
          </w:p>
        </w:tc>
        <w:tc>
          <w:tcPr>
            <w:tcW w:w="108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-12</w:t>
            </w:r>
          </w:p>
        </w:tc>
      </w:tr>
    </w:tbl>
    <w:p>
      <w:pPr>
        <w:rPr/>
      </w:pPr>
    </w:p>
    <w:p>
      <w:pPr>
        <w:rPr/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목표 주가 및 투자 의견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>가치 평가 결과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/>
        <w:t xml:space="preserve">상기 DCF 모델을 통해 산출된 </w:t>
      </w:r>
      <w:r>
        <w:rPr/>
        <w:t>하이드로젠텍의 내재가치</w:t>
      </w:r>
      <w:r>
        <w:rPr/>
        <w:t xml:space="preserve">는 약 </w:t>
      </w:r>
      <w:r>
        <w:rPr/>
        <w:t>120억 원</w:t>
      </w:r>
      <w:r>
        <w:rPr/>
        <w:t>으로 평가됨.</w:t>
      </w:r>
      <w:r>
        <w:rPr/>
        <w:br/>
      </w:r>
      <w:r>
        <w:rPr/>
        <w:t xml:space="preserve">이를 발행 주식수 1,000,000주로 나누면 목표 주가는 </w:t>
      </w:r>
      <w:r>
        <w:rPr/>
        <w:t>12,000원</w:t>
      </w:r>
      <w:r>
        <w:rPr/>
        <w:t>으로 산출.</w:t>
      </w:r>
      <w:r>
        <w:rPr/>
        <w:br/>
      </w:r>
      <w:r>
        <w:rPr/>
        <w:t>이는 현재 주가</w:t>
      </w:r>
      <w:r>
        <w:rPr>
          <w:lang w:eastAsia="ko-KR"/>
          <w:rtl w:val="off"/>
        </w:rPr>
        <w:t xml:space="preserve"> </w:t>
      </w:r>
      <w:r>
        <w:rPr/>
        <w:t xml:space="preserve">9,000원 가정 대비 약 </w:t>
      </w:r>
      <w:r>
        <w:rPr/>
        <w:t>30%의 상승 여력</w:t>
      </w:r>
      <w:r>
        <w:rPr/>
        <w:t>을 보유.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 xml:space="preserve">경쟁사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밸류에이션 비교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t>하이드로젠텍의 밸류에이션이 적정한지 판단하기 위해 국내 주요 경쟁사들과의 밸류에이션 지표를 비교.</w:t>
      </w:r>
    </w:p>
    <w:tbl>
      <w:tblPr>
        <w:tblStyle w:val="b0"/>
        <w:tblLook w:val="04A0" w:firstRow="1" w:lastRow="0" w:firstColumn="1" w:lastColumn="0" w:noHBand="0" w:noVBand="1"/>
        <w:tblLayout w:type="autofit"/>
      </w:tblPr>
      <w:tblGrid>
        <w:gridCol w:w="2795"/>
        <w:gridCol w:w="2020"/>
        <w:gridCol w:w="2020"/>
        <w:gridCol w:w="202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구분</w:t>
            </w:r>
          </w:p>
        </w:tc>
        <w:tc>
          <w:tcPr>
            <w:tcW w:w="202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t>하이드로젠텍</w:t>
            </w:r>
          </w:p>
        </w:tc>
        <w:tc>
          <w:tcPr>
            <w:tcW w:w="202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t>그린에너지</w:t>
            </w:r>
          </w:p>
        </w:tc>
        <w:tc>
          <w:tcPr>
            <w:tcW w:w="202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t>솔라솔루션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주가수익비율 (PER)</w:t>
            </w:r>
          </w:p>
        </w:tc>
        <w:tc>
          <w:tcPr>
            <w:tcW w:w="202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tl w:val="off"/>
              </w:rPr>
              <w:t>(N/A)</w:t>
            </w:r>
          </w:p>
        </w:tc>
        <w:tc>
          <w:tcPr>
            <w:tcW w:w="202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t>10배</w:t>
            </w:r>
          </w:p>
        </w:tc>
        <w:tc>
          <w:tcPr>
            <w:tcW w:w="202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t>15배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주가매출비율 (PSR)</w:t>
            </w:r>
          </w:p>
        </w:tc>
        <w:tc>
          <w:tcPr>
            <w:tcW w:w="202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tl w:val="off"/>
              </w:rPr>
              <w:t>5배</w:t>
            </w:r>
          </w:p>
        </w:tc>
        <w:tc>
          <w:tcPr>
            <w:tcW w:w="202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t>12배</w:t>
            </w:r>
          </w:p>
        </w:tc>
        <w:tc>
          <w:tcPr>
            <w:tcW w:w="202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t>20배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기업가치/EBITDA (EV/EBITDA)</w:t>
            </w:r>
          </w:p>
        </w:tc>
        <w:tc>
          <w:tcPr>
            <w:tcW w:w="202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tl w:val="off"/>
              </w:rPr>
              <w:t>7</w:t>
            </w:r>
            <w:r>
              <w:t>배</w:t>
            </w:r>
          </w:p>
        </w:tc>
        <w:tc>
          <w:tcPr>
            <w:tcW w:w="202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t>18배</w:t>
            </w:r>
          </w:p>
        </w:tc>
        <w:tc>
          <w:tcPr>
            <w:tcW w:w="202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t>25배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투자 의견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하이드로젠텍에 대한 투자의견은 매수를 제시.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이는 하이드로젠텍의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성장 잠재력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과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기술 기반 차별성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, 그리고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경쟁사 대비 낮은 밸류에이션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종합적으로 고려한 판단임.</w:t>
      </w:r>
    </w:p>
    <w:p>
      <w:pPr>
        <w:pStyle w:val="a1"/>
        <w:numPr>
          <w:ilvl w:val="0"/>
          <w:numId w:val="2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의견 근거</w:t>
      </w:r>
    </w:p>
    <w:p>
      <w:pPr>
        <w:pStyle w:val="a1"/>
        <w:numPr>
          <w:ilvl w:val="1"/>
          <w:numId w:val="2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성장 모멘텀 확보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신규 시장 진출(해외 소규모 프로젝트) 및 2세대 연료전지 모듈 개발을 통해 추가 성장 동력 확보.</w:t>
      </w:r>
    </w:p>
    <w:p>
      <w:pPr>
        <w:pStyle w:val="a1"/>
        <w:numPr>
          <w:ilvl w:val="1"/>
          <w:numId w:val="23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기술적 해자 구축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자체 연료전지 소재 기술은 중소기업·대기업 모두 단기간 내 모방이 어려운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기술 진입장벽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역할 수행.</w:t>
      </w:r>
    </w:p>
    <w:p>
      <w:pPr>
        <w:pStyle w:val="a1"/>
        <w:numPr>
          <w:ilvl w:val="1"/>
          <w:numId w:val="23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안정적 재무 구조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현재 소규모지만 낮은 부채비율과 꾸준한 매출 성장률(연평균 40~50%)을 통해, 외부 환경 변화에도 흔들리지 않는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스타트업형 안정성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구축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투자 시나리오 분석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가정 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Base Case: 하이드로젠텍이 현재의 성장 전략을 계획대로 이행하고, 시장 환경이 안정적으로 유지되는 경우.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Bull Case: 고효율 수소 연료전지 기술이 예상보다 빠르게 시장에 안착하고, 에코파워과의 해외 기업과의 기술 제휴이 성공적으로 체결되는 경우.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Bear Case: 퓨처에너지의 시장 진입이 가속화되고, 대기업 및 공공기관와의 주요 고객사와의 장기 공급 계약 체결이 예상과 달리 재계약에 실패하는 경우.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시나리오별 핵심 가정 및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예상 목표 주가</w:t>
      </w:r>
    </w:p>
    <w:tbl>
      <w:tblPr>
        <w:tblStyle w:val="b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386"/>
        <w:gridCol w:w="2111"/>
        <w:gridCol w:w="2111"/>
        <w:gridCol w:w="2111"/>
        <w:gridCol w:w="1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gridAfter w:val="1"/>
          <w:wAfter w:w="1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6" w:type="dxa"/>
          </w:tcPr>
          <w:p>
            <w:pP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구분</w:t>
            </w:r>
          </w:p>
        </w:tc>
        <w:tc>
          <w:tcPr>
            <w:tcW w:w="2111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Base Case</w:t>
            </w:r>
          </w:p>
        </w:tc>
        <w:tc>
          <w:tcPr>
            <w:tcW w:w="2111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Bull Case</w:t>
            </w:r>
          </w:p>
        </w:tc>
        <w:tc>
          <w:tcPr>
            <w:tcW w:w="2111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Bear Case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gridAfter w:val="1"/>
          <w:wAfter w:w="1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6" w:type="dxa"/>
          </w:tcPr>
          <w:p>
            <w:pP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매출액 성장률</w:t>
            </w:r>
          </w:p>
        </w:tc>
        <w:tc>
          <w:tcPr>
            <w:tcW w:w="2111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연평균 15% 성장</w:t>
            </w:r>
          </w:p>
        </w:tc>
        <w:tc>
          <w:tcPr>
            <w:tcW w:w="2111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연평균 22% 성장</w:t>
            </w:r>
          </w:p>
        </w:tc>
        <w:tc>
          <w:tcPr>
            <w:tcW w:w="2111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연평균 28% 성장</w:t>
            </w:r>
          </w:p>
        </w:tc>
      </w:tr>
      <w:tr>
        <w:trPr>
          <w:gridAfter w:val="1"/>
          <w:wAfter w:w="1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6" w:type="dxa"/>
          </w:tcPr>
          <w:p>
            <w:pP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영업이익률</w:t>
            </w:r>
          </w:p>
        </w:tc>
        <w:tc>
          <w:tcPr>
            <w:tcW w:w="2111" w:type="dxa"/>
          </w:tcPr>
          <w:p>
            <w:pP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10%까지 개선</w:t>
            </w:r>
          </w:p>
        </w:tc>
        <w:tc>
          <w:tcPr>
            <w:tcW w:w="2111" w:type="dxa"/>
          </w:tcPr>
          <w:p>
            <w:pP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18%까지 개선</w:t>
            </w:r>
          </w:p>
        </w:tc>
        <w:tc>
          <w:tcPr>
            <w:tcW w:w="2111" w:type="dxa"/>
          </w:tcPr>
          <w:p>
            <w:pP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25%에서 정체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gridAfter w:val="1"/>
          <w:wAfter w:w="1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6" w:type="dxa"/>
          </w:tcPr>
          <w:p>
            <w:pP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예상 EBITDA(억 원)</w:t>
            </w:r>
          </w:p>
        </w:tc>
        <w:tc>
          <w:tcPr>
            <w:tcW w:w="2111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25</w:t>
            </w:r>
          </w:p>
        </w:tc>
        <w:tc>
          <w:tcPr>
            <w:tcW w:w="2111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40</w:t>
            </w:r>
          </w:p>
        </w:tc>
        <w:tc>
          <w:tcPr>
            <w:tcW w:w="2111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30</w:t>
            </w:r>
          </w:p>
        </w:tc>
      </w:tr>
      <w:tr>
        <w:trPr>
          <w:gridAfter w:val="1"/>
          <w:wAfter w:w="1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6" w:type="dxa"/>
          </w:tcPr>
          <w:p>
            <w:pP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예상 순이익(억 원)</w:t>
            </w:r>
          </w:p>
        </w:tc>
        <w:tc>
          <w:tcPr>
            <w:tcW w:w="2111" w:type="dxa"/>
          </w:tcPr>
          <w:p>
            <w:pP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20</w:t>
            </w:r>
          </w:p>
        </w:tc>
        <w:tc>
          <w:tcPr>
            <w:tcW w:w="2111" w:type="dxa"/>
          </w:tcPr>
          <w:p>
            <w:pP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15</w:t>
            </w:r>
          </w:p>
        </w:tc>
        <w:tc>
          <w:tcPr>
            <w:tcW w:w="2111" w:type="dxa"/>
          </w:tcPr>
          <w:p>
            <w:pP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10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gridAfter w:val="1"/>
          <w:wAfter w:w="1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6" w:type="dxa"/>
          </w:tcPr>
          <w:p>
            <w:pP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예상 목표 주가</w:t>
            </w:r>
          </w:p>
        </w:tc>
        <w:tc>
          <w:tcPr>
            <w:tcW w:w="2111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5,000원</w:t>
            </w:r>
          </w:p>
        </w:tc>
        <w:tc>
          <w:tcPr>
            <w:tcW w:w="2111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7,000원</w:t>
            </w:r>
          </w:p>
        </w:tc>
        <w:tc>
          <w:tcPr>
            <w:tcW w:w="2111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3,000원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시나리오별 상세 분석</w:t>
      </w:r>
    </w:p>
    <w:p>
      <w:pPr>
        <w:pStyle w:val="a1"/>
        <w:numPr>
          <w:ilvl w:val="0"/>
          <w:numId w:val="2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Base Case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하이드로젠텍은 안정적인 수익 구조를 바탕으로 재무 건전성을 유지. 현재 주가는 내재 가치 대비 저평가되어 있으며, 향후 점진적 개선이 기대됨.</w:t>
      </w:r>
    </w:p>
    <w:p>
      <w:pPr>
        <w:pStyle w:val="a1"/>
        <w:numPr>
          <w:ilvl w:val="0"/>
          <w:numId w:val="2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Bull Case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고효율 수소 연료전지의 성공적인 시장 안착으로 예상보다 40억 원의 추가 매출이 발생. 특히 유럽 초기 시장에서 7~10%의 점유율 확보가 가능할 것으로 전망되며, 이는 목표 주가를 7,000원까지 끌어올리는 주요 요인.</w:t>
      </w:r>
    </w:p>
    <w:p>
      <w:pPr>
        <w:pStyle w:val="a1"/>
        <w:numPr>
          <w:ilvl w:val="0"/>
          <w:numId w:val="24"/>
        </w:numPr>
        <w:rPr>
          <w:b w:val="0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Bear Case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대기업 및 공공기관과의 재계약 불발로 5억 원 이상의 매출 손실이 발생할 수 있음. 이로 인해 영업이익률이 예상치를 하회하며, 목표 주가가 3,000원 수준으로 하락하는 리스크 요인.</w:t>
      </w:r>
    </w:p>
    <w:p>
      <w:pPr>
        <w:rPr>
          <w:lang/>
          <w:rFonts w:ascii="함초롬바탕" w:eastAsia="함초롬바탕" w:hAnsi="함초롬바탕" w:cs="함초롬바탕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4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결론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하이드로젠텍은 수소 에너지 시장에서 성장 잠재력을 보유한 초기 단계의 선도 스타트업이다.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특히 독보적인 고효율 수소 연료전지 기술과 안정적인 고객 기반은 기업의 장기 성장을 담보한다.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현재의 밸류에이션은 기업의 내재 가치 대비 저평가되어 있으며, 향후 해외 시장 진출과 신규 사업 확장을 통해 기업 가치 재평가 가능성이 크다.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단기적인 변동성은 존재하나, 경영진의 전문성과 명확한 성장 전략을 고려할 때 극복 가능한 수준으로 판단된다.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Ⅴ</w:t>
            </w:r>
            <w:r>
              <w:rPr>
                <w:rFonts w:ascii="HY견명조"/>
                <w:b/>
                <w:color w:val="FFFFFF"/>
                <w:sz w:val="42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>부록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재무제표 요약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sz w:val="28"/>
          <w:szCs w:val="28"/>
        </w:rPr>
        <w:t>아래 재무제표는 하이드로젠텍의 최근 3년간의 주요 재무 상태를 요약한 것이다.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  <w:t>손익계산서</w:t>
      </w:r>
    </w:p>
    <w:tbl>
      <w:tblPr>
        <w:tblStyle w:val="b0"/>
        <w:tblLook w:val="04A0" w:firstRow="1" w:lastRow="0" w:firstColumn="1" w:lastColumn="0" w:noHBand="0" w:noVBand="1"/>
        <w:tblLayout w:type="autofit"/>
      </w:tblPr>
      <w:tblGrid>
        <w:gridCol w:w="2214"/>
        <w:gridCol w:w="2214"/>
        <w:gridCol w:w="2214"/>
        <w:gridCol w:w="221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2022년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2023년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2024년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매출액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8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12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18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-1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0.5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1.5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순이익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-2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0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  <w:t>재무상태표</w:t>
      </w:r>
    </w:p>
    <w:tbl>
      <w:tblPr>
        <w:tblStyle w:val="b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80"/>
        <w:gridCol w:w="2180"/>
        <w:gridCol w:w="2180"/>
        <w:gridCol w:w="218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218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2022년</w:t>
            </w:r>
          </w:p>
        </w:tc>
        <w:tc>
          <w:tcPr>
            <w:tcW w:w="218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2023년</w:t>
            </w:r>
          </w:p>
        </w:tc>
        <w:tc>
          <w:tcPr>
            <w:tcW w:w="218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2024년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자산총계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1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25</w:t>
            </w:r>
          </w:p>
        </w:tc>
        <w:tc>
          <w:tcPr>
            <w:tcW w:w="21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35</w:t>
            </w:r>
          </w:p>
        </w:tc>
        <w:tc>
          <w:tcPr>
            <w:tcW w:w="21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55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부채총계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10</w:t>
            </w:r>
          </w:p>
        </w:tc>
        <w:tc>
          <w:tcPr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15</w:t>
            </w:r>
          </w:p>
        </w:tc>
        <w:tc>
          <w:tcPr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자본총계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1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15</w:t>
            </w:r>
          </w:p>
        </w:tc>
        <w:tc>
          <w:tcPr>
            <w:tcW w:w="21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</w:t>
            </w:r>
          </w:p>
        </w:tc>
        <w:tc>
          <w:tcPr>
            <w:tcW w:w="21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35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참고 자료 및 데이터 출처</w:t>
            </w:r>
          </w:p>
        </w:tc>
      </w:tr>
    </w:tbl>
    <w:p>
      <w:pPr>
        <w:rPr>
          <w:sz w:val="28"/>
          <w:szCs w:val="28"/>
        </w:rPr>
      </w:pPr>
      <w:r>
        <w:rPr>
          <w:sz w:val="28"/>
          <w:szCs w:val="28"/>
        </w:rPr>
        <w:t>본 보고서 작성에 활용된 주요 자료 및 데이터 출처는 아래와 같습니다.</w:t>
      </w:r>
    </w:p>
    <w:p>
      <w:pPr>
        <w:pStyle w:val="a1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하이드로젠텍 내부 사업 계획서 및 공시자료</w:t>
      </w:r>
    </w:p>
    <w:p>
      <w:pPr>
        <w:pStyle w:val="a1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한국시장연구소의 수소 에너지 산업 동향 보고서</w:t>
      </w:r>
    </w:p>
    <w:p>
      <w:pPr>
        <w:pStyle w:val="a1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한국금융정보원 제공 스타트업 재무 데이터</w:t>
      </w:r>
    </w:p>
    <w:p>
      <w:pPr>
        <w:pStyle w:val="a1"/>
        <w:numPr>
          <w:ilvl w:val="0"/>
          <w:numId w:val="25"/>
        </w:numPr>
      </w:pPr>
      <w:r>
        <w:rPr>
          <w:sz w:val="28"/>
          <w:szCs w:val="28"/>
        </w:rPr>
        <w:t>국내외 산업 관련 학술 논문 및 시장 뉴스</w:t>
      </w:r>
    </w:p>
    <w:sectPr>
      <w:pgSz w:w="11906" w:h="16838"/>
      <w:pgMar w:top="1985" w:right="1701" w:bottom="1701" w:left="1701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함초롬바탕">
    <w:panose1 w:val="02030604000101010101"/>
    <w:family w:val="HCR Batang"/>
    <w:charset w:val="00"/>
    <w:notTrueType w:val="false"/>
    <w:sig w:usb0="7FFFFFFF" w:usb1="19DFFFFF" w:usb2="001BFDD7" w:usb3="00000001" w:csb0="001F01FF" w:csb1="00000001"/>
  </w:font>
  <w:font w:name="HY견명조">
    <w:panose1 w:val="02030600000101010101"/>
    <w:family w:val="HYMyeongJo-Extra"/>
    <w:charset w:val="00"/>
    <w:notTrueType w:val="false"/>
    <w:sig w:usb0="7FFFFFFF" w:usb1="29D77CF9" w:usb2="00000010" w:usb3="00000001" w:csb0="00080000" w:csb1="00000001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b60"/>
    <w:multiLevelType w:val="hybridMultilevel"/>
    <w:lvl w:ilvl="0" w:tplc="4090013">
      <w:start w:val="1"/>
      <w:numFmt w:val="upperRoman"/>
      <w:lvlText w:val="%1."/>
      <w:lvlJc w:val="left"/>
      <w:pPr>
        <w:ind w:left="8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200" w:right="0" w:hanging="400"/>
      </w:pPr>
      <w:rPr/>
    </w:lvl>
    <w:lvl w:ilvl="2" w:tplc="409001b">
      <w:start w:val="1"/>
      <w:numFmt w:val="lowerRoman"/>
      <w:lvlText w:val="%3."/>
      <w:lvlJc w:val="left"/>
      <w:pPr>
        <w:ind w:left="1600" w:right="0" w:hanging="400"/>
      </w:pPr>
      <w:rPr/>
    </w:lvl>
    <w:lvl w:ilvl="3" w:tplc="409000f">
      <w:start w:val="1"/>
      <w:lvlText w:val="%4."/>
      <w:lvlJc w:val="left"/>
      <w:pPr>
        <w:ind w:left="20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400" w:right="0" w:hanging="400"/>
      </w:pPr>
      <w:rPr/>
    </w:lvl>
    <w:lvl w:ilvl="5" w:tplc="409001b">
      <w:start w:val="1"/>
      <w:numFmt w:val="lowerRoman"/>
      <w:lvlText w:val="%6."/>
      <w:lvlJc w:val="left"/>
      <w:pPr>
        <w:ind w:left="2800" w:right="0" w:hanging="400"/>
      </w:pPr>
      <w:rPr/>
    </w:lvl>
    <w:lvl w:ilvl="6" w:tplc="409000f">
      <w:start w:val="1"/>
      <w:lvlText w:val="%7."/>
      <w:lvlJc w:val="left"/>
      <w:pPr>
        <w:ind w:left="32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36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000" w:right="0" w:hanging="400"/>
      </w:pPr>
      <w:rPr/>
    </w:lvl>
  </w:abstractNum>
  <w:abstractNum w:abstractNumId="1">
    <w:nsid w:val="fffeff40"/>
    <w:multiLevelType w:val="hybridMultilevel"/>
    <w:lvl w:ilvl="0" w:tplc="409000f">
      <w:start w:val="1"/>
      <w:lvlText w:val="%1."/>
      <w:lvlJc w:val="left"/>
      <w:pPr>
        <w:ind w:left="112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520" w:right="0" w:hanging="400"/>
      </w:pPr>
      <w:rPr/>
    </w:lvl>
    <w:lvl w:ilvl="2" w:tplc="409001b">
      <w:start w:val="1"/>
      <w:numFmt w:val="lowerRoman"/>
      <w:lvlText w:val="%3."/>
      <w:lvlJc w:val="left"/>
      <w:pPr>
        <w:ind w:left="1920" w:right="0" w:hanging="400"/>
      </w:pPr>
      <w:rPr/>
    </w:lvl>
    <w:lvl w:ilvl="3" w:tplc="409000f">
      <w:start w:val="1"/>
      <w:lvlText w:val="%4."/>
      <w:lvlJc w:val="left"/>
      <w:pPr>
        <w:ind w:left="232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720" w:right="0" w:hanging="400"/>
      </w:pPr>
      <w:rPr/>
    </w:lvl>
    <w:lvl w:ilvl="5" w:tplc="409001b">
      <w:start w:val="1"/>
      <w:numFmt w:val="lowerRoman"/>
      <w:lvlText w:val="%6."/>
      <w:lvlJc w:val="left"/>
      <w:pPr>
        <w:ind w:left="3120" w:right="0" w:hanging="400"/>
      </w:pPr>
      <w:rPr/>
    </w:lvl>
    <w:lvl w:ilvl="6" w:tplc="409000f">
      <w:start w:val="1"/>
      <w:lvlText w:val="%7."/>
      <w:lvlJc w:val="left"/>
      <w:pPr>
        <w:ind w:left="352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3920" w:right="0" w:hanging="400"/>
      </w:pPr>
      <w:rPr/>
    </w:lvl>
    <w:lvl w:ilvl="8" w:tplc="409001b">
      <w:start w:val="1"/>
      <w:numFmt w:val="lowerRoman"/>
      <w:lvlText w:val="%9."/>
      <w:lvlJc w:val="left"/>
      <w:pPr>
        <w:ind w:left="4320" w:right="0" w:hanging="400"/>
      </w:pPr>
      <w:rPr/>
    </w:lvl>
  </w:abstractNum>
  <w:abstractNum w:abstractNumId="2">
    <w:nsid w:val="7bffff9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3">
    <w:nsid w:val="ffffff40"/>
    <w:multiLevelType w:val="hybridMultilevel"/>
    <w:lvl w:ilvl="0" w:tplc="409000f">
      <w:start w:val="1"/>
      <w:lvlText w:val="%1."/>
      <w:lvlJc w:val="left"/>
      <w:pPr>
        <w:ind w:left="112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520" w:right="0" w:hanging="400"/>
      </w:pPr>
      <w:rPr/>
    </w:lvl>
    <w:lvl w:ilvl="2" w:tplc="409001b">
      <w:start w:val="1"/>
      <w:numFmt w:val="lowerRoman"/>
      <w:lvlText w:val="%3."/>
      <w:lvlJc w:val="left"/>
      <w:pPr>
        <w:ind w:left="1920" w:right="0" w:hanging="400"/>
      </w:pPr>
      <w:rPr/>
    </w:lvl>
    <w:lvl w:ilvl="3" w:tplc="409000f">
      <w:start w:val="1"/>
      <w:lvlText w:val="%4."/>
      <w:lvlJc w:val="left"/>
      <w:pPr>
        <w:ind w:left="232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720" w:right="0" w:hanging="400"/>
      </w:pPr>
      <w:rPr/>
    </w:lvl>
    <w:lvl w:ilvl="5" w:tplc="409001b">
      <w:start w:val="1"/>
      <w:numFmt w:val="lowerRoman"/>
      <w:lvlText w:val="%6."/>
      <w:lvlJc w:val="left"/>
      <w:pPr>
        <w:ind w:left="3120" w:right="0" w:hanging="400"/>
      </w:pPr>
      <w:rPr/>
    </w:lvl>
    <w:lvl w:ilvl="6" w:tplc="409000f">
      <w:start w:val="1"/>
      <w:lvlText w:val="%7."/>
      <w:lvlJc w:val="left"/>
      <w:pPr>
        <w:ind w:left="352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3920" w:right="0" w:hanging="400"/>
      </w:pPr>
      <w:rPr/>
    </w:lvl>
    <w:lvl w:ilvl="8" w:tplc="409001b">
      <w:start w:val="1"/>
      <w:numFmt w:val="lowerRoman"/>
      <w:lvlText w:val="%9."/>
      <w:lvlJc w:val="left"/>
      <w:pPr>
        <w:ind w:left="4320" w:right="0" w:hanging="400"/>
      </w:pPr>
      <w:rPr/>
    </w:lvl>
  </w:abstractNum>
  <w:abstractNum w:abstractNumId="4">
    <w:nsid w:val="bf7dfc5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5">
    <w:nsid w:val="ffffef6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6">
    <w:nsid w:val="e7effe9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7">
    <w:nsid w:val="fff7dfe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8">
    <w:nsid w:val="ffffed2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>
    <w:nsid w:val="ff7ff78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0">
    <w:nsid w:val="ffffefc0"/>
    <w:multiLevelType w:val="hybridMultilevel"/>
    <w:lvl w:ilvl="0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1">
    <w:nsid w:val="fffdfb0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7f3fa64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fffff74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>
    <w:nsid w:val="ffef6da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>
    <w:nsid w:val="ffffbd1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>
    <w:nsid w:val="7fffe6b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>
    <w:nsid w:val="677f57f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>
    <w:nsid w:val="fffffe9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>
    <w:nsid w:val="77fff05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>
    <w:nsid w:val="fffff78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>
    <w:nsid w:val="fffffd7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>
    <w:nsid w:val="ffffcfe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>
    <w:nsid w:val="ffffffb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>
    <w:nsid w:val="ff77f70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EastAsia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41597953" w:unhideWhenUsed="1"/>
    <w:lsdException w:name="toc 2" w:semiHidden="1" w:uiPriority="541597953" w:unhideWhenUsed="1"/>
    <w:lsdException w:name="toc 3" w:semiHidden="1" w:uiPriority="541597953" w:unhideWhenUsed="1"/>
    <w:lsdException w:name="toc 4" w:semiHidden="1" w:uiPriority="541597953" w:unhideWhenUsed="1"/>
    <w:lsdException w:name="toc 5" w:semiHidden="1" w:uiPriority="541597953" w:unhideWhenUsed="1"/>
    <w:lsdException w:name="toc 6" w:semiHidden="1" w:uiPriority="541597953" w:unhideWhenUsed="1"/>
    <w:lsdException w:name="toc 7" w:semiHidden="1" w:uiPriority="541597953" w:unhideWhenUsed="1"/>
    <w:lsdException w:name="toc 8" w:semiHidden="1" w:uiPriority="541597953" w:unhideWhenUsed="1"/>
    <w:lsdException w:name="toc 9" w:semiHidden="1" w:uiPriority="541597953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4159526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5309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5309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0481682" w:qFormat="1"/>
    <w:lsdException w:name="Emphasis" w:uiPriority="1941208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41597953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-1994194638"/>
    <w:lsdException w:name="Light List" w:uiPriority="-1994194637"/>
    <w:lsdException w:name="Light Grid" w:uiPriority="-1994194606"/>
    <w:lsdException w:name="Medium Shading 1" w:uiPriority="-1994194605"/>
    <w:lsdException w:name="Medium Shading 2" w:uiPriority="1629496450"/>
    <w:lsdException w:name="Medium List 1" w:uiPriority="1629496451"/>
    <w:lsdException w:name="Medium List 2" w:uiPriority="2021795652"/>
    <w:lsdException w:name="Medium Grid 1" w:uiPriority="2021795653"/>
    <w:lsdException w:name="Medium Grid 2" w:uiPriority="2021800310"/>
    <w:lsdException w:name="Medium Grid 3" w:uiPriority="2021800311"/>
    <w:lsdException w:name="Dark List" w:uiPriority="2021933716"/>
    <w:lsdException w:name="Colorful Shading" w:uiPriority="2021933717"/>
    <w:lsdException w:name="Colorful List" w:uiPriority="2032410912"/>
    <w:lsdException w:name="Colorful Grid" w:uiPriority="2032410913"/>
    <w:lsdException w:name="Light Shading Accent 1" w:uiPriority="-1994194638"/>
    <w:lsdException w:name="Light List Accent 1" w:uiPriority="-1994194637"/>
    <w:lsdException w:name="Light Grid Accent 1" w:uiPriority="-1994194606"/>
    <w:lsdException w:name="Medium Shading 1 Accent 1" w:uiPriority="-1994194605"/>
    <w:lsdException w:name="Medium Shading 2 Accent 1" w:uiPriority="1629496450"/>
    <w:lsdException w:name="Medium List 1 Accent 1" w:uiPriority="1629496451"/>
    <w:lsdException w:name="Revision" w:semiHidden="1"/>
    <w:lsdException w:name="List Paragraph" w:uiPriority="541595266" w:qFormat="1"/>
    <w:lsdException w:name="Quote" w:uiPriority="421734533" w:qFormat="1"/>
    <w:lsdException w:name="Intense Quote" w:uiPriority="422868888" w:qFormat="1"/>
    <w:lsdException w:name="Medium List 2 Accent 1" w:uiPriority="2021795652"/>
    <w:lsdException w:name="Medium Grid 1 Accent 1" w:uiPriority="2021795653"/>
    <w:lsdException w:name="Medium Grid 2 Accent 1" w:uiPriority="2021800310"/>
    <w:lsdException w:name="Medium Grid 3 Accent 1" w:uiPriority="2021800311"/>
    <w:lsdException w:name="Dark List Accent 1" w:uiPriority="2021933716"/>
    <w:lsdException w:name="Colorful Shading Accent 1" w:uiPriority="2021933717"/>
    <w:lsdException w:name="Colorful List Accent 1" w:uiPriority="2032410912"/>
    <w:lsdException w:name="Colorful Grid Accent 1" w:uiPriority="2032410913"/>
    <w:lsdException w:name="Light Shading Accent 2" w:uiPriority="-1994194638"/>
    <w:lsdException w:name="Light List Accent 2" w:uiPriority="-1994194637"/>
    <w:lsdException w:name="Light Grid Accent 2" w:uiPriority="-1994194606"/>
    <w:lsdException w:name="Medium Shading 1 Accent 2" w:uiPriority="-1994194605"/>
    <w:lsdException w:name="Medium Shading 2 Accent 2" w:uiPriority="1629496450"/>
    <w:lsdException w:name="Medium List 1 Accent 2" w:uiPriority="1629496451"/>
    <w:lsdException w:name="Medium List 2 Accent 2" w:uiPriority="2021795652"/>
    <w:lsdException w:name="Medium Grid 1 Accent 2" w:uiPriority="2021795653"/>
    <w:lsdException w:name="Medium Grid 2 Accent 2" w:uiPriority="2021800310"/>
    <w:lsdException w:name="Medium Grid 3 Accent 2" w:uiPriority="2021800311"/>
    <w:lsdException w:name="Dark List Accent 2" w:uiPriority="2021933716"/>
    <w:lsdException w:name="Colorful Shading Accent 2" w:uiPriority="2021933717"/>
    <w:lsdException w:name="Colorful List Accent 2" w:uiPriority="2032410912"/>
    <w:lsdException w:name="Colorful Grid Accent 2" w:uiPriority="2032410913"/>
    <w:lsdException w:name="Light Shading Accent 3" w:uiPriority="-1994194638"/>
    <w:lsdException w:name="Light List Accent 3" w:uiPriority="-1994194637"/>
    <w:lsdException w:name="Light Grid Accent 3" w:uiPriority="-1994194606"/>
    <w:lsdException w:name="Medium Shading 1 Accent 3" w:uiPriority="-1994194605"/>
    <w:lsdException w:name="Medium Shading 2 Accent 3" w:uiPriority="1629496450"/>
    <w:lsdException w:name="Medium List 1 Accent 3" w:uiPriority="1629496451"/>
    <w:lsdException w:name="Medium List 2 Accent 3" w:uiPriority="2021795652"/>
    <w:lsdException w:name="Medium Grid 1 Accent 3" w:uiPriority="2021795653"/>
    <w:lsdException w:name="Medium Grid 2 Accent 3" w:uiPriority="2021800310"/>
    <w:lsdException w:name="Medium Grid 3 Accent 3" w:uiPriority="2021800311"/>
    <w:lsdException w:name="Dark List Accent 3" w:uiPriority="2021933716"/>
    <w:lsdException w:name="Colorful Shading Accent 3" w:uiPriority="2021933717"/>
    <w:lsdException w:name="Colorful List Accent 3" w:uiPriority="2032410912"/>
    <w:lsdException w:name="Colorful Grid Accent 3" w:uiPriority="2032410913"/>
    <w:lsdException w:name="Light Shading Accent 4" w:uiPriority="-1994194638"/>
    <w:lsdException w:name="Light List Accent 4" w:uiPriority="-1994194637"/>
    <w:lsdException w:name="Light Grid Accent 4" w:uiPriority="-1994194606"/>
    <w:lsdException w:name="Medium Shading 1 Accent 4" w:uiPriority="-1994194605"/>
    <w:lsdException w:name="Medium Shading 2 Accent 4" w:uiPriority="1629496450"/>
    <w:lsdException w:name="Medium List 1 Accent 4" w:uiPriority="1629496451"/>
    <w:lsdException w:name="Medium List 2 Accent 4" w:uiPriority="2021795652"/>
    <w:lsdException w:name="Medium Grid 1 Accent 4" w:uiPriority="2021795653"/>
    <w:lsdException w:name="Medium Grid 2 Accent 4" w:uiPriority="2021800310"/>
    <w:lsdException w:name="Medium Grid 3 Accent 4" w:uiPriority="2021800311"/>
    <w:lsdException w:name="Dark List Accent 4" w:uiPriority="2021933716"/>
    <w:lsdException w:name="Colorful Shading Accent 4" w:uiPriority="2021933717"/>
    <w:lsdException w:name="Colorful List Accent 4" w:uiPriority="2032410912"/>
    <w:lsdException w:name="Colorful Grid Accent 4" w:uiPriority="2032410913"/>
    <w:lsdException w:name="Light Shading Accent 5" w:uiPriority="-1994194638"/>
    <w:lsdException w:name="Light List Accent 5" w:uiPriority="-1994194637"/>
    <w:lsdException w:name="Light Grid Accent 5" w:uiPriority="-1994194606"/>
    <w:lsdException w:name="Medium Shading 1 Accent 5" w:uiPriority="-1994194605"/>
    <w:lsdException w:name="Medium Shading 2 Accent 5" w:uiPriority="1629496450"/>
    <w:lsdException w:name="Medium List 1 Accent 5" w:uiPriority="1629496451"/>
    <w:lsdException w:name="Medium List 2 Accent 5" w:uiPriority="2021795652"/>
    <w:lsdException w:name="Medium Grid 1 Accent 5" w:uiPriority="2021795653"/>
    <w:lsdException w:name="Medium Grid 2 Accent 5" w:uiPriority="2021800310"/>
    <w:lsdException w:name="Medium Grid 3 Accent 5" w:uiPriority="2021800311"/>
    <w:lsdException w:name="Dark List Accent 5" w:uiPriority="2021933716"/>
    <w:lsdException w:name="Colorful Shading Accent 5" w:uiPriority="2021933717"/>
    <w:lsdException w:name="Colorful List Accent 5" w:uiPriority="2032410912"/>
    <w:lsdException w:name="Colorful Grid Accent 5" w:uiPriority="2032410913"/>
    <w:lsdException w:name="Light Shading Accent 6" w:uiPriority="-1994194638"/>
    <w:lsdException w:name="Light List Accent 6" w:uiPriority="-1994194637"/>
    <w:lsdException w:name="Light Grid Accent 6" w:uiPriority="-1994194606"/>
    <w:lsdException w:name="Medium Shading 1 Accent 6" w:uiPriority="-1994194605"/>
    <w:lsdException w:name="Medium Shading 2 Accent 6" w:uiPriority="1629496450"/>
    <w:lsdException w:name="Medium List 1 Accent 6" w:uiPriority="1629496451"/>
    <w:lsdException w:name="Medium List 2 Accent 6" w:uiPriority="2021795652"/>
    <w:lsdException w:name="Medium Grid 1 Accent 6" w:uiPriority="2021795653"/>
    <w:lsdException w:name="Medium Grid 2 Accent 6" w:uiPriority="2021800310"/>
    <w:lsdException w:name="Medium Grid 3 Accent 6" w:uiPriority="2021800311"/>
    <w:lsdException w:name="Dark List Accent 6" w:uiPriority="2021933716"/>
    <w:lsdException w:name="Colorful Shading Accent 6" w:uiPriority="2021933717"/>
    <w:lsdException w:name="Colorful List Accent 6" w:uiPriority="2032410912"/>
    <w:lsdException w:name="Colorful Grid Accent 6" w:uiPriority="2032410913"/>
    <w:lsdException w:name="Subtle Emphasis" w:uiPriority="1388695" w:qFormat="1"/>
    <w:lsdException w:name="Intense Emphasis" w:uiPriority="19412085" w:qFormat="1"/>
    <w:lsdException w:name="Subtle Reference" w:uiPriority="422868889" w:qFormat="1"/>
    <w:lsdException w:name="Intense Reference" w:uiPriority="423698564" w:qFormat="1"/>
    <w:lsdException w:name="Book Title" w:uiPriority="423698565" w:qFormat="1"/>
    <w:lsdException w:name="Bibliography" w:semiHidden="1" w:uiPriority="541595269" w:unhideWhenUsed="1"/>
    <w:lsdException w:name="TOC Heading" w:semiHidden="1" w:uiPriority="541597953" w:unhideWhenUsed="1" w:qFormat="1"/>
    <w:lsdException w:name="Plain Table 1" w:uiPriority="561202483"/>
    <w:lsdException w:name="Plain Table 2" w:uiPriority="578822744"/>
    <w:lsdException w:name="Plain Table 3" w:uiPriority="578822745"/>
    <w:lsdException w:name="Plain Table 4" w:uiPriority="578823976"/>
    <w:lsdException w:name="Plain Table 5" w:uiPriority="578823977"/>
    <w:lsdException w:name="Grid Table Light" w:uiPriority="561202482"/>
    <w:lsdException w:name="Grid Table 1 Light" w:uiPriority="578844294"/>
    <w:lsdException w:name="Grid Table 2" w:uiPriority="578844295"/>
    <w:lsdException w:name="Grid Table 3" w:uiPriority="579242120"/>
    <w:lsdException w:name="Grid Table 4" w:uiPriority="579242121"/>
    <w:lsdException w:name="Grid Table 5 Dark" w:uiPriority="594117988"/>
    <w:lsdException w:name="Grid Table 6 Colorful" w:uiPriority="594117989"/>
    <w:lsdException w:name="Grid Table 7 Colorful" w:uiPriority="1096372838"/>
    <w:lsdException w:name="Grid Table 1 Light Accent 1" w:uiPriority="578844294"/>
    <w:lsdException w:name="Grid Table 2 Accent 1" w:uiPriority="578844295"/>
    <w:lsdException w:name="Grid Table 3 Accent 1" w:uiPriority="579242120"/>
    <w:lsdException w:name="Grid Table 4 Accent 1" w:uiPriority="579242121"/>
    <w:lsdException w:name="Grid Table 5 Dark Accent 1" w:uiPriority="594117988"/>
    <w:lsdException w:name="Grid Table 6 Colorful Accent 1" w:uiPriority="594117989"/>
    <w:lsdException w:name="Grid Table 7 Colorful Accent 1" w:uiPriority="1096372838"/>
    <w:lsdException w:name="Grid Table 1 Light Accent 2" w:uiPriority="578844294"/>
    <w:lsdException w:name="Grid Table 2 Accent 2" w:uiPriority="578844295"/>
    <w:lsdException w:name="Grid Table 3 Accent 2" w:uiPriority="579242120"/>
    <w:lsdException w:name="Grid Table 4 Accent 2" w:uiPriority="579242121"/>
    <w:lsdException w:name="Grid Table 5 Dark Accent 2" w:uiPriority="594117988"/>
    <w:lsdException w:name="Grid Table 6 Colorful Accent 2" w:uiPriority="594117989"/>
    <w:lsdException w:name="Grid Table 7 Colorful Accent 2" w:uiPriority="1096372838"/>
    <w:lsdException w:name="Grid Table 1 Light Accent 3" w:uiPriority="578844294"/>
    <w:lsdException w:name="Grid Table 2 Accent 3" w:uiPriority="578844295"/>
    <w:lsdException w:name="Grid Table 3 Accent 3" w:uiPriority="579242120"/>
    <w:lsdException w:name="Grid Table 4 Accent 3" w:uiPriority="579242121"/>
    <w:lsdException w:name="Grid Table 5 Dark Accent 3" w:uiPriority="594117988"/>
    <w:lsdException w:name="Grid Table 6 Colorful Accent 3" w:uiPriority="594117989"/>
    <w:lsdException w:name="Grid Table 7 Colorful Accent 3" w:uiPriority="1096372838"/>
    <w:lsdException w:name="Grid Table 1 Light Accent 4" w:uiPriority="578844294"/>
    <w:lsdException w:name="Grid Table 2 Accent 4" w:uiPriority="578844295"/>
    <w:lsdException w:name="Grid Table 3 Accent 4" w:uiPriority="579242120"/>
    <w:lsdException w:name="Grid Table 4 Accent 4" w:uiPriority="579242121"/>
    <w:lsdException w:name="Grid Table 5 Dark Accent 4" w:uiPriority="594117988"/>
    <w:lsdException w:name="Grid Table 6 Colorful Accent 4" w:uiPriority="594117989"/>
    <w:lsdException w:name="Grid Table 7 Colorful Accent 4" w:uiPriority="1096372838"/>
    <w:lsdException w:name="Grid Table 1 Light Accent 5" w:uiPriority="578844294"/>
    <w:lsdException w:name="Grid Table 2 Accent 5" w:uiPriority="578844295"/>
    <w:lsdException w:name="Grid Table 3 Accent 5" w:uiPriority="579242120"/>
    <w:lsdException w:name="Grid Table 4 Accent 5" w:uiPriority="579242121"/>
    <w:lsdException w:name="Grid Table 5 Dark Accent 5" w:uiPriority="594117988"/>
    <w:lsdException w:name="Grid Table 6 Colorful Accent 5" w:uiPriority="594117989"/>
    <w:lsdException w:name="Grid Table 7 Colorful Accent 5" w:uiPriority="1096372838"/>
    <w:lsdException w:name="Grid Table 1 Light Accent 6" w:uiPriority="578844294"/>
    <w:lsdException w:name="Grid Table 2 Accent 6" w:uiPriority="578844295"/>
    <w:lsdException w:name="Grid Table 3 Accent 6" w:uiPriority="579242120"/>
    <w:lsdException w:name="Grid Table 4 Accent 6" w:uiPriority="579242121"/>
    <w:lsdException w:name="Grid Table 5 Dark Accent 6" w:uiPriority="594117988"/>
    <w:lsdException w:name="Grid Table 6 Colorful Accent 6" w:uiPriority="594117989"/>
    <w:lsdException w:name="Grid Table 7 Colorful Accent 6" w:uiPriority="1096372838"/>
    <w:lsdException w:name="List Table 1 Light" w:uiPriority="578844294"/>
    <w:lsdException w:name="List Table 2" w:uiPriority="578844295"/>
    <w:lsdException w:name="List Table 3" w:uiPriority="579242120"/>
    <w:lsdException w:name="List Table 4" w:uiPriority="579242121"/>
    <w:lsdException w:name="List Table 5 Dark" w:uiPriority="594117988"/>
    <w:lsdException w:name="List Table 6 Colorful" w:uiPriority="594117989"/>
    <w:lsdException w:name="List Table 7 Colorful" w:uiPriority="1096372838"/>
    <w:lsdException w:name="List Table 1 Light Accent 1" w:uiPriority="578844294"/>
    <w:lsdException w:name="List Table 2 Accent 1" w:uiPriority="578844295"/>
    <w:lsdException w:name="List Table 3 Accent 1" w:uiPriority="579242120"/>
    <w:lsdException w:name="List Table 4 Accent 1" w:uiPriority="579242121"/>
    <w:lsdException w:name="List Table 5 Dark Accent 1" w:uiPriority="594117988"/>
    <w:lsdException w:name="List Table 6 Colorful Accent 1" w:uiPriority="594117989"/>
    <w:lsdException w:name="List Table 7 Colorful Accent 1" w:uiPriority="1096372838"/>
    <w:lsdException w:name="List Table 1 Light Accent 2" w:uiPriority="578844294"/>
    <w:lsdException w:name="List Table 2 Accent 2" w:uiPriority="578844295"/>
    <w:lsdException w:name="List Table 3 Accent 2" w:uiPriority="579242120"/>
    <w:lsdException w:name="List Table 4 Accent 2" w:uiPriority="579242121"/>
    <w:lsdException w:name="List Table 5 Dark Accent 2" w:uiPriority="594117988"/>
    <w:lsdException w:name="List Table 6 Colorful Accent 2" w:uiPriority="594117989"/>
    <w:lsdException w:name="List Table 7 Colorful Accent 2" w:uiPriority="1096372838"/>
    <w:lsdException w:name="List Table 1 Light Accent 3" w:uiPriority="578844294"/>
    <w:lsdException w:name="List Table 2 Accent 3" w:uiPriority="578844295"/>
    <w:lsdException w:name="List Table 3 Accent 3" w:uiPriority="579242120"/>
    <w:lsdException w:name="List Table 4 Accent 3" w:uiPriority="579242121"/>
    <w:lsdException w:name="List Table 5 Dark Accent 3" w:uiPriority="594117988"/>
    <w:lsdException w:name="List Table 6 Colorful Accent 3" w:uiPriority="594117989"/>
    <w:lsdException w:name="List Table 7 Colorful Accent 3" w:uiPriority="1096372838"/>
    <w:lsdException w:name="List Table 1 Light Accent 4" w:uiPriority="578844294"/>
    <w:lsdException w:name="List Table 2 Accent 4" w:uiPriority="578844295"/>
    <w:lsdException w:name="List Table 3 Accent 4" w:uiPriority="579242120"/>
    <w:lsdException w:name="List Table 4 Accent 4" w:uiPriority="579242121"/>
    <w:lsdException w:name="List Table 5 Dark Accent 4" w:uiPriority="594117988"/>
    <w:lsdException w:name="List Table 6 Colorful Accent 4" w:uiPriority="594117989"/>
    <w:lsdException w:name="List Table 7 Colorful Accent 4" w:uiPriority="1096372838"/>
    <w:lsdException w:name="List Table 1 Light Accent 5" w:uiPriority="578844294"/>
    <w:lsdException w:name="List Table 2 Accent 5" w:uiPriority="578844295"/>
    <w:lsdException w:name="List Table 3 Accent 5" w:uiPriority="579242120"/>
    <w:lsdException w:name="List Table 4 Accent 5" w:uiPriority="579242121"/>
    <w:lsdException w:name="List Table 5 Dark Accent 5" w:uiPriority="594117988"/>
    <w:lsdException w:name="List Table 6 Colorful Accent 5" w:uiPriority="594117989"/>
    <w:lsdException w:name="List Table 7 Colorful Accent 5" w:uiPriority="1096372838"/>
    <w:lsdException w:name="List Table 1 Light Accent 6" w:uiPriority="578844294"/>
    <w:lsdException w:name="List Table 2 Accent 6" w:uiPriority="578844295"/>
    <w:lsdException w:name="List Table 3 Accent 6" w:uiPriority="579242120"/>
    <w:lsdException w:name="List Table 4 Accent 6" w:uiPriority="579242121"/>
    <w:lsdException w:name="List Table 5 Dark Accent 6" w:uiPriority="594117988"/>
    <w:lsdException w:name="List Table 6 Colorful Accent 6" w:uiPriority="594117989"/>
    <w:lsdException w:name="List Table 7 Colorful Accent 6" w:uiPriority="1096372838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0">
    <w:name w:val="Table Grid"/>
    <w:uiPriority w:val="59"/>
    <w:basedOn w:val="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1">
    <w:name w:val="List Paragraph"/>
    <w:uiPriority w:val="34"/>
    <w:basedOn w:val="a2"/>
    <w:qFormat/>
    <w:pPr>
      <w:ind w:left="720"/>
      <w:contextualSpacing/>
    </w:p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0">
    <w:name w:val="Plain Table 1"/>
    <w:uiPriority w:val="41"/>
    <w:basedOn w:val="a4"/>
    <w:pPr>
      <w:spacing w:after="0" w:line="240" w:lineRule="auto"/>
    </w:pPr>
    <w:tblPr>
      <w:tblBorders>
        <w:top w:val="single" w:sz="4" w:space="0" w:color="BFBFBF" w:themeColor="lt1" w:themeShade="bf"/>
        <w:left w:val="single" w:sz="4" w:space="0" w:color="BFBFBF" w:themeColor="lt1" w:themeShade="bf"/>
        <w:bottom w:val="single" w:sz="4" w:space="0" w:color="BFBFBF" w:themeColor="lt1" w:themeShade="bf"/>
        <w:right w:val="single" w:sz="4" w:space="0" w:color="BFBFBF" w:themeColor="lt1" w:themeShade="bf"/>
        <w:insideH w:val="single" w:sz="4" w:space="0" w:color="BFBFBF" w:themeColor="lt1" w:themeShade="bf"/>
        <w:insideV w:val="single" w:sz="4" w:space="0" w:color="BFBFBF" w:themeColor="lt1" w:themeShade="bf"/>
      </w:tblBorders>
      <w:tblStyleColBandSize w:val="1"/>
      <w:tblStyleRow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lt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lt1" w:themeFillShade="f2"/>
      </w:tcPr>
    </w:tblStylePr>
    <w:tblStylePr w:type="band1Horz">
      <w:tblPr/>
      <w:tcPr>
        <w:shd w:val="clear" w:color="auto" w:fill="F2F2F2" w:themeFill="lt1" w:themeFillShade="f2"/>
      </w:tcPr>
    </w:tblStylePr>
  </w:style>
  <w:style w:type="paragraph" w:customStyle="1" w:styleId="b1">
    <w:name w:val="스타일1"/>
    <w:basedOn w:val="a2"/>
    <w:qFormat/>
    <w:rPr>
      <w:rFonts w:ascii="함초롬바탕" w:eastAsia="함초롬바탕" w:hAnsi="함초롬바탕" w:cs="함초롬바탕" w:hint="default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gkseh</dc:creator>
  <cp:keywords/>
  <dc:description/>
  <cp:lastModifiedBy>gkseh</cp:lastModifiedBy>
  <cp:revision>1</cp:revision>
  <dcterms:modified xsi:type="dcterms:W3CDTF">2025-09-23T15:03:51Z</dcterms:modified>
  <cp:version>1300.0100.01</cp:version>
</cp:coreProperties>
</file>