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高频交易风险警示指标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（主要关注的点）：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累计撤销占累计申报的50%以上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申报和撤单的笔数限制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（一）单个账户每秒申报、撤单的最高笔数达到300笔以上；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单个账户单日申报、撤单的最高笔数达到20000笔以上；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资金分配：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中性产品：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股票+股票预留+期货+期货预留=1+0.1+0.12+0.03=1.25，1/1.25=0.8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指增产品：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股票+股票预留+期货+期货预留=x+0.1x+0.12(5000-x)+0.03(5000-x)=0.95x+5000*0.15&lt;=5000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0.95x&lt;=5000*(1-0.15)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x/5000&lt;=0.85/0.95=0.8947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基差=期货价格-现货价格</w:t>
      </w:r>
    </w:p>
    <w:p>
      <w:pPr>
        <w:ind w:left="1205" w:hanging="1205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基差贴水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：期货价格&lt;现货价格，不利于中性产品建仓。空头头寸成本增加，需要以更高的价格买入股指期货对冲，从而导致建仓成本增加。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基差升水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：期货价格&gt;现货价格，利于中性产品建仓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基差收敛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：期货和现货之间的差值变小     </w:t>
      </w:r>
    </w:p>
    <w:p>
      <w:pPr>
        <w:widowControl w:val="0"/>
        <w:numPr>
          <w:ilvl w:val="0"/>
          <w:numId w:val="0"/>
        </w:numPr>
        <w:ind w:left="3600" w:hanging="3600" w:hangingChars="15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中性产品 收益减少  （股票的收益弥补期货的亏损，差值变小，需要减掉的越多）</w:t>
      </w:r>
    </w:p>
    <w:p>
      <w:pPr>
        <w:widowControl w:val="0"/>
        <w:numPr>
          <w:ilvl w:val="0"/>
          <w:numId w:val="0"/>
        </w:numPr>
        <w:ind w:left="3600" w:hanging="3600" w:hangingChars="1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指增产品 收益增加  （收益等于股票收益加期货，相当于期货收益增加）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基差走阔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：期货和现货之间的差值变大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中性产品 收益增加  （差值变大，需要减掉的期货端收益变小）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指增产品 收益减少   （相当于期货收益减少，总收益减少）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从存续中性产品策略来看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基差扩大的过程，有利于存续中性产品的净值表现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基差收敛，或贴水减弱，不利于存续中性产品净值回撤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中性产品建仓后，基差的收敛或扩张变化会造成对冲产品的浮盈或浮亏，进而对收益产生影响。但只是持有过程中的波动，不改变事先锁定的成本。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中性产品对冲期货的选择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一般选择隔季合约进行对冲，因为贴水且稳定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监控界面指标的含义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撤单率=撤单/报单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总市值=昨持仓*昨收（今日不变）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成交额：当下实时成交额，包括买进+卖出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市场占比=成交手数/市场总手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可用：剩余可用金额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换手率=成交额/2/总市值（看还能成交的比率）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Delta：表示风险敞口，单票=（买量-卖量）*单价，一揽子=单票Delta的相加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绝对值Delta：绝对买入+绝对卖出，单票=Delta绝对值的相加，一揽子=单票Delta绝对值的相加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裸露比=（当前-目标）/目标=（买-卖）/目标，中性产品希望得到的是0，一揽子的裸露比是用金额来计算的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Pnl=卖出量*卖出金额-买入量*买入金额+敞口*现价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Fee：印花税+佣金=万五+万一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NetPnl=Pnl-Fee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收益率=NetPnl/总市值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收益/换手：看全部成交的预期收益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胜率=赚钱个股数/总股数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未平仓比=未平仓个股数/总个股数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涨跌幅限制：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沪深主板：±10%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科创板、创业板：±20%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北交所：±30%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ST股主板：±5%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交易所规则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60开头----上证A股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0开头-----深圳A股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3开头-----创业板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688开头---科创板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早盘集合竞价：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9：15-9：20：可挂可撤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9：20-9：25：可挂不可撤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9：25-9：30：可挂可撤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9点25产生开盘价，买入和卖出的数量尽可能接近已实现最大成交量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9：25-9：30期间挂的单子9：30后集中处理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收盘集合竞价：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14：57-15：00：可挂不可撤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碎股成交规则：需一次性申报卖出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撮合规则：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买单价格高的优先成交，卖单价格低的优先成交；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相同价格按提交时间顺序成交；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市价单以当前最优价格成交，可以能会产生滑点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限价单按指定价格成交，未达到指定价格则挂单等待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股票交易界面基本概念：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总手：目前为止该股的总成交量（手数）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现手：刚成交的一笔交易的手数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量比：当日总成交手数与近期平均成交手数的比值；若比值大于1，表示这个时刻的成交总手量已经放大，若量比数值小于1，表示这个时刻成交总手萎缩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委比：（委买手数-委卖手数）/（委买手数+委卖手数）、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数值范围为-100%~+100%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委比为正值，且数值很大时，表示买方力量比卖方力量强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委买手数：当前委托买入前三挡的手数总和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内盘：以买入的报价成交，俗称主动性抛盘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外盘：以卖出的报价成交，俗称主动性买盘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例如外盘32721内盘29452，说明主动性抛盘&lt;&lt;主动性买盘，对多方有利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市盈率（PE）= 每股市价/每股收益（EPS）反应投资者对公司未来盈利能力的预期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市净率（PB）= 每股市价/每股净资产 反应投资者对公司资产的价值评估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交易所交易基金（ETFs）：可以在交易所上市交易的基金，是一揽子股票的投资组合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策略的好处：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可以忽略股票今日总体涨跌，例如全程在0%以下的股票，收盘-5.2%，由于波动较大，策略收益率1.3‰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Shannon_prods_info指标含义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nav（Net Asset Value）：净资产值，这里表示单位净值=基金资产总值/基金总份额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nav_chg：单位净值变化率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T0rate：T0策略的收益率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TrackingError：跟踪误差，表示产品收益与基准指数收益之间的差异？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BasisSpread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：基差率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stock_main_MV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：主要持仓股票的市值</w:t>
      </w:r>
    </w:p>
    <w:p>
      <w:pPr>
        <w:widowControl w:val="0"/>
        <w:numPr>
          <w:ilvl w:val="0"/>
          <w:numId w:val="0"/>
        </w:numPr>
        <w:ind w:left="2400" w:hanging="2400" w:hangingChars="10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Stock_secondary_MV：</w:t>
      </w:r>
      <w:r>
        <w:rPr>
          <w:rFonts w:ascii="宋体" w:hAnsi="宋体" w:eastAsia="宋体" w:cs="宋体"/>
          <w:sz w:val="24"/>
          <w:szCs w:val="24"/>
        </w:rPr>
        <w:t>一些产品可能会分两个证券账户进行交易，不同的证券账户单独计算股票市值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stock_marketVal：股票总市值（主次持仓之和）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stock_ratio：股票市值/规模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hedge_needed_ratio：所需对冲比例=stock_ratio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CTP_marketVal：期货市值，多头为正空头为负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CTP_threshold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：一手期货的价格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CTP_ratio：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期货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市值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/规模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exposure：风险敞口=（stock_marketVal+CTP_marketVal）/total_size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920" w:hanging="1920" w:hangingChars="8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exposure_diff：风险敞口差异，当前值与目标的偏离</w:t>
      </w:r>
    </w:p>
    <w:p>
      <w:pPr>
        <w:widowControl w:val="0"/>
        <w:numPr>
          <w:ilvl w:val="0"/>
          <w:numId w:val="0"/>
        </w:numPr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对冲=0-exposure</w:t>
      </w:r>
    </w:p>
    <w:p>
      <w:pPr>
        <w:widowControl w:val="0"/>
        <w:numPr>
          <w:ilvl w:val="0"/>
          <w:numId w:val="0"/>
        </w:numPr>
        <w:ind w:left="2160" w:hanging="2160" w:hangingChars="9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指增=1-exposure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position_overthres：实际股票占比stock_ratio-最低股票占比（0.73）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adjustVol_needed：需要调整的合约数量=（exposure_diff*total_size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CTP_threshold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，只针对指增产品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跟踪误差（Tracking Error）是衡量投资组合（如基金）与其跟踪的基准指数（如沪深300指数）之间收益偏离程度的指标，反映了组合相对于基准的波动差异。其核心计算方法是基于两者收益率差值的标准差。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rackingerror = 股票T日涨幅 - 指数T日的涨幅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rackingerror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股票市值变化/股票昨收 - </w:t>
      </w:r>
      <w:r>
        <w:rPr>
          <w:rFonts w:ascii="宋体" w:hAnsi="宋体" w:eastAsia="宋体" w:cs="宋体"/>
          <w:sz w:val="24"/>
          <w:szCs w:val="24"/>
        </w:rPr>
        <w:t>指数T日的涨幅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产品界面指标的含义：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净值敞口=（股票市值+期货市值）/规模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市值敞口=（股票市值+期货市值）/股票市值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股票市值收益率：股票收益/股票市值=(SHPnl+SZPnl)/股票市值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产品市值收益率：NetPnl/规模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策略NetPnl：（SH+SZ）Pnl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NetPnl = 策略NetPnl+股票市值变化+期货市值变化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调仓界面：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报单收益：实际交易价格与成本之间的差额，反映了 TWAP 策略的实际收益。</w:t>
      </w:r>
    </w:p>
    <w:p>
      <w:pPr>
        <w:widowControl w:val="0"/>
        <w:numPr>
          <w:ilvl w:val="0"/>
          <w:numId w:val="0"/>
        </w:numPr>
        <w:ind w:left="1200" w:hanging="1200" w:hangingChars="5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报单收益 = 绩效 *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交易量</w:t>
      </w:r>
    </w:p>
    <w:p>
      <w:pPr>
        <w:widowControl w:val="0"/>
        <w:numPr>
          <w:ilvl w:val="0"/>
          <w:numId w:val="0"/>
        </w:numPr>
        <w:ind w:left="1200" w:hanging="1200" w:hangingChars="5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报单收益是以0为基准，对标收益是负万五的基准</w:t>
      </w:r>
    </w:p>
    <w:p>
      <w:pPr>
        <w:widowControl w:val="0"/>
        <w:numPr>
          <w:ilvl w:val="0"/>
          <w:numId w:val="0"/>
        </w:numPr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报单收益+成交额*0.0005=对标收益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托管的概念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金托管是指商业银行接受基金管理人的委托，代表基金持有人的利益，保管基金资产，监督基金管理人日常投资运作，基金托管人独立开设基金资产账户，依据管理人的指令进行清算和交割，保管基金资产，在有关制度和基金契约规定的范围内对基金业务运作进行监督，并收取一定的托管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托管：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由具备托管资质的第三方机构（如银行、券商）对私募基金资产进行独立保管，包括负责交易结算、资金划拨、定期核算基金净值，并履行监督职责，确保资金安全、合规运作。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契约型私募基金必须托管，合伙型/公司型基金可通过约定选择托管。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常见托管方：商业银行，券商。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极速柜台和普通柜台的区别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极速柜台：适合高频交易和量化交易，提供微秒级的交易速度，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一般需要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资金门槛（如300万元人民币），费用较高。专注于标准化交易（股票、ETF、期货等）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普通柜台：适合普通投资者，交易速度适中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，毫秒级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，费用较低。支持复杂业务（融资融券、期权、场外衍生品等）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选择极速柜台的原因：降低延迟、降低滑点、抢占流动性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ADEAA8"/>
    <w:multiLevelType w:val="singleLevel"/>
    <w:tmpl w:val="EEADEA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N2MwNTZiYmJiMDhjNjU3ZTcwNjk1YzkzMmM1YTMifQ=="/>
  </w:docVars>
  <w:rsids>
    <w:rsidRoot w:val="1DF05C35"/>
    <w:rsid w:val="1DF0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2025-02-24T09:29:00Z</dcterms:created>
  <dc:creator>叶珏玲</dc:creator>
  <cp:lastModifiedBy>叶珏玲</cp:lastModifiedBy>
  <dcterms:modified xsi:type="dcterms:W3CDTF">2025-02-24T10:06:19Z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D815FDE5997A4B709B53DDA72B8186D2</vt:lpwstr>
  </property>
</Properties>
</file>