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right="0" w:rightChars="0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高频交易风险警示指标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（重要关注的点）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累计撤销占累计申报的50%以上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申报和撤单的笔数限制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（一）单个账户每秒申报、撤单的最高笔数达到300笔以上；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二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sz w:val="24"/>
          <w:szCs w:val="24"/>
        </w:rPr>
        <w:t>单个账户单日申报、撤单的最高笔数达到20000笔以上；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二、产品介绍：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1、中性产品：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股票市值：期货市值=1：1，股票多头，期货空头，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股票+股票预留+期货+期货预留=1+0.1+0.12+0.03=1.25，1/1.25=0.8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157" w:beforeLines="50"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2、指增产品：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比值不是1：1，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79" w:leftChars="228" w:firstLine="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股票+股票预留+期货+期货预留=x+0.1x+0.12(5000-x)+0.03(5000-x)=0.95x+5000*0.15&lt;=5000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计算结果：x/5000&lt;=0.85/0.95=0.8947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3、产品收益NetPnl = 策略NetPnl+股票市值变化+期货市值变化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三、基差=期货价格-现货价格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1、基差贴水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：期货价格&lt;现货价格，不利于中性产品建仓。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2、基差升水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：期货价格&gt;现货价格，利于中性产品建仓。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3、基差收敛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：期货和现货之间的差值变小     </w:t>
      </w:r>
    </w:p>
    <w:p>
      <w:pPr>
        <w:widowControl w:val="0"/>
        <w:numPr>
          <w:ilvl w:val="0"/>
          <w:numId w:val="0"/>
        </w:numPr>
        <w:ind w:left="3600" w:hanging="3600" w:hangingChars="15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中性产品 收益减少  （股票的收益弥补期货的亏损，差值变小，需要减掉的越多）</w:t>
      </w:r>
    </w:p>
    <w:p>
      <w:pPr>
        <w:widowControl w:val="0"/>
        <w:numPr>
          <w:ilvl w:val="0"/>
          <w:numId w:val="0"/>
        </w:numPr>
        <w:ind w:left="3600" w:hanging="3600" w:hangingChars="15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指增产品 收益增加  （收益等于股票收益加期货，相当于期货收益增加）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4、基差走阔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：期货和现货之间的差值变大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中性产品 收益增加  （差值变大，需要减掉的期货端收益变小）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指增产品 收益减少   （相当于期货收益减少，总收益减少）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四、从存续中性产品策略来看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基差扩大的过程，有利于存续中性产品的净值表现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基差收敛，或贴水减弱，不利于存续中性产品净值回撤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中性产品建仓后，基差的收敛或扩张变化会造成对冲产品的浮盈或浮亏，进而对收益产生影响。但只是持有过程中的波动，不改变事先锁定的成本。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年化基差率 = （期货价格-现货价格）/ 现货价格 * 365 / 剩余到期时间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基差波动小对产品更有利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五、中性产品对冲期货的选择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一般选择隔季合约进行对冲，因为贴水且稳定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六、母单生成思路：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ascii="宋体" w:hAnsi="宋体" w:eastAsia="宋体" w:cs="宋体"/>
          <w:sz w:val="24"/>
          <w:szCs w:val="24"/>
        </w:rPr>
        <w:t>获取当前仓位情况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</w:t>
      </w:r>
      <w:r>
        <w:rPr>
          <w:rFonts w:ascii="宋体" w:hAnsi="宋体" w:eastAsia="宋体" w:cs="宋体"/>
          <w:sz w:val="24"/>
          <w:szCs w:val="24"/>
        </w:rPr>
        <w:t>计算目标仓位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</w:t>
      </w:r>
      <w:r>
        <w:rPr>
          <w:rFonts w:ascii="宋体" w:hAnsi="宋体" w:eastAsia="宋体" w:cs="宋体"/>
          <w:sz w:val="24"/>
          <w:szCs w:val="24"/>
        </w:rPr>
        <w:t>两个仓位相比计算出加减仓的情况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生成build/clear的母单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</w:t>
      </w:r>
      <w:r>
        <w:rPr>
          <w:rFonts w:ascii="宋体" w:hAnsi="宋体" w:eastAsia="宋体" w:cs="宋体"/>
          <w:sz w:val="24"/>
          <w:szCs w:val="24"/>
        </w:rPr>
        <w:t>昨仓除去要减仓的部分做T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来</w:t>
      </w:r>
      <w:r>
        <w:rPr>
          <w:rFonts w:ascii="宋体" w:hAnsi="宋体" w:eastAsia="宋体" w:cs="宋体"/>
          <w:sz w:val="24"/>
          <w:szCs w:val="24"/>
        </w:rPr>
        <w:t>生成T0的母单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七、监控界面指标的含义：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1、T0界面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撤单率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=撤单/报单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总市值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=昨持仓*昨收（今日不变）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成交额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：当下实时成交额，包括买进+卖出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市场占比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=成交手数/市场总手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：剩余可用金额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换手率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=成交额/2/总市值（看还能成交的比率）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Delta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：表示风险敞口，单票=（买量-卖量）*单价，一揽子=单票Delta的相加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绝对值Delta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：绝对买入+绝对卖出，单票=Delta绝对值的相加，一揽子=单票Delta绝对值的相加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裸露比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=（当前-目标）/目标=（买-卖）/目标，中性产品希望得到的是0，一揽子的裸露比是用金额来计算的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Pnl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=卖出量*卖出金额-买入量*买入金额+敞口*现价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Fee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：印花税+佣金=万五+万一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NetPnl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=Pnl-Fee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收益率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=NetPnl/总市值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收益/换手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：看全部成交的预期收益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胜率=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赚钱个股数/总股数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未平仓比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=未平仓个股数/总个股数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2、单票界面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ab/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净持仓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买量 - 卖量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可T 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昨持 - 今卖出量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Delta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净持仓 * 价格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成交率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1 - 撤单率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3、产品界面：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净值敞口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=（股票市值+期货市值）/规模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市值敞口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=（股票市值+期货市值）/股票市值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股票市值收益率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：股票收益/股票市值=(SHPnl+SZPnl)/股票市值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产品市值收益率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：NetPnl/规模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策略NetPnl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：（SH+SZ）Pnl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NetPnl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策略NetPnl+股票市值变化+期货市值变化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4、调仓界面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报单收益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：实际交易价格与成本之间的差额，反映了 TWAP 策略的实际收益。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报单收益是以0为基准，对标收益是负万五的基准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报单收益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（交易价格 - TWAP基准） * 成交量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对标收益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（交易价格 - TWAP基准 + 万5） * 成交量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报单收益率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 报单收益/总市值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八、涨跌幅限制：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沪深主板：±10%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科创板、创业板：±20%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北交所：±30%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ST股主板：±5%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九、交易所规则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60开头----上证A股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0开头-----深圳A股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3开头-----创业板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688开头---科创板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十、集合竞价：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1、早盘集合竞价：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9：15-9：20：可挂可撤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9：20-9：25：可挂不可撤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9：25-9：30：可挂可撤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9点25产生开盘价，买入和卖出的数量尽可能接近以实现最大成交量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9：25-9：30期间挂的单子9：30后集中处理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2、收盘集合竞价：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14：57-15：00：可挂不可撤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十一、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撮合规则：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买单价格高的优先成交，卖单价格低的优先成交；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相同价格按提交时间顺序成交；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市价单以当前最优价格成交，可以能会产生滑点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限价单按指定价格成交，未达到指定价格则挂单等待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十二、报单规则：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科创板200股起，上交所其余股票100股起；深交所1手=100股起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午休期间不可挂单撤单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碎股成交规则：需一次性申报卖出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十三、Shannon_prods_info指标含义：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（Net Asset Value）：净资产值，这里表示单位净值=基金资产总值/基金总份额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nav_chg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：单位净值变化率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T0rate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：T0策略的收益率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TrackingError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跟踪误差（Tracking Error）是衡量投资组合（如基金）与其跟踪的基准指数（如沪深300指数）之间收益偏离程度的指标，反映了组合相对于基准的波动差异。其核心计算方法是基于两者收益率差值的标准差。</w:t>
      </w:r>
    </w:p>
    <w:p>
      <w:pPr>
        <w:widowControl w:val="0"/>
        <w:numPr>
          <w:ilvl w:val="0"/>
          <w:numId w:val="0"/>
        </w:numPr>
        <w:ind w:firstLine="2335" w:firstLineChars="973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= 股票T日涨幅 - 指数T日的涨幅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 = 股票市值变化/股票昨收 - </w:t>
      </w:r>
      <w:r>
        <w:rPr>
          <w:rFonts w:ascii="宋体" w:hAnsi="宋体" w:eastAsia="宋体" w:cs="宋体"/>
          <w:sz w:val="24"/>
          <w:szCs w:val="24"/>
        </w:rPr>
        <w:t>指数T日的涨幅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BasisSpread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：基差率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stock_main_MV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：主要持仓股票的市值</w:t>
      </w:r>
    </w:p>
    <w:p>
      <w:pPr>
        <w:widowControl w:val="0"/>
        <w:numPr>
          <w:ilvl w:val="0"/>
          <w:numId w:val="0"/>
        </w:numPr>
        <w:ind w:left="240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Stock_secondary_MV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ascii="宋体" w:hAnsi="宋体" w:eastAsia="宋体" w:cs="宋体"/>
          <w:sz w:val="24"/>
          <w:szCs w:val="24"/>
        </w:rPr>
        <w:t>一些产品可能会分两个证券账户进行交易，不同的证券账户单独计算股票市值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stock_marketVal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：股票总市值（主次持仓之和）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stock_ratio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：股票市值/规模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hedge_needed_ratio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：所需对冲比例=stock_ratio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CTP_marketVal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：期货市值，多头为正空头为负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CTP_threshold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：一手期货的价格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CTP_ratio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期货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市值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/规模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exposure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：风险敞口=（stock_marketVal+CTP_marketVal）/total_size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192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exposure_diff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：风险敞口差异，当前值与目标的偏离</w:t>
      </w:r>
    </w:p>
    <w:p>
      <w:pPr>
        <w:widowControl w:val="0"/>
        <w:numPr>
          <w:ilvl w:val="0"/>
          <w:numId w:val="0"/>
        </w:numPr>
        <w:ind w:left="216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对冲=0-exposure</w:t>
      </w:r>
    </w:p>
    <w:p>
      <w:pPr>
        <w:widowControl w:val="0"/>
        <w:numPr>
          <w:ilvl w:val="0"/>
          <w:numId w:val="0"/>
        </w:numPr>
        <w:ind w:left="216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        指增=1-exposure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position_overthres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：实际股票占比stock_ratio-最低股票占比（0.73）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adjustVol_needed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：需要调整的合约数量=（exposure_diff*total_size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​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）/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CTP_threshold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，只针对指增产品 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十四、托管的概念：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金托管：指商业银行接受基金管理人的委托，代表基金持有人的利益，保管基金资产，监督基金管理人日常投资运作，基金托管人独立开设基金资产账户，依据管理人的指令进行清算和交割，保管基金资产，在有关制度和基金契约规定的范围内对基金业务运作进行监督，并收取一定的托管费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托管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：由具备托管资质的第三方机构（如银行、券商）对私募基金资产进行独立保管，包括负责交易结算、资金划拨、定期核算基金净值，并履行监督职责，确保资金安全、合规运作。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契约型私募基金必须托管，合伙型/公司型基金可通过约定选择托管。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常见托管方：商业银行，券商。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both"/>
        <w:textAlignment w:val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十五、极速柜台和普通柜台的区别：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极速柜台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：适合高频交易和量化交易，提供微秒级的交易速度，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一般需要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资金门槛（如300万元人民币），费用较高。专注于标准化交易（股票、ETF、期货等）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普通柜台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：适合普通投资者，交易速度适中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，毫秒级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，费用较低。支持复杂业务（融资融券、期权、场外衍生品等）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选择极速柜台的原因：降低延迟、降低滑点、抢占流动性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ADEAA8"/>
    <w:multiLevelType w:val="singleLevel"/>
    <w:tmpl w:val="EEADEAA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hN2MwNTZiYmJiMDhjNjU3ZTcwNjk1YzkzMmM1YTMifQ=="/>
    <w:docVar w:name="KSO_WPS_MARK_KEY" w:val="ec4e9f5a-b4dc-470b-b37e-77e20b1a9e59"/>
  </w:docVars>
  <w:rsids>
    <w:rsidRoot w:val="1DF05C35"/>
    <w:rsid w:val="1DF05C35"/>
    <w:rsid w:val="2F0E4C1E"/>
    <w:rsid w:val="41453D63"/>
    <w:rsid w:val="4E5B6F06"/>
    <w:rsid w:val="55CF0BA1"/>
    <w:rsid w:val="62EA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2485</Words>
  <Characters>3142</Characters>
  <Lines>0</Lines>
  <Paragraphs>0</Paragraphs>
  <TotalTime>97</TotalTime>
  <ScaleCrop>false</ScaleCrop>
  <LinksUpToDate>false</LinksUpToDate>
  <CharactersWithSpaces>3298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2025-02-24T09:29:00Z</dcterms:created>
  <dc:creator>叶珏玲</dc:creator>
  <cp:lastModifiedBy>叶珏玲</cp:lastModifiedBy>
  <dcterms:modified xsi:type="dcterms:W3CDTF">2025-03-03T09:39:25Z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CC40ADCEB1D9420E8F8A30A7AA1BA5A4</vt:lpwstr>
  </property>
</Properties>
</file>