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Jinyu</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163925.</w:t>
      </w:r>
    </w:p>
    <w:p>
      <w:pPr>
        <w:numPr>
          <w:ilvl w:val="0"/>
          <w:numId w:val="1"/>
        </w:numPr>
        <w:rPr>
          <w:rFonts w:ascii="宋体" w:hAnsi="宋体" w:eastAsia="宋体" w:cs="宋体"/>
          <w:sz w:val="24"/>
          <w:szCs w:val="24"/>
        </w:rPr>
      </w:pPr>
      <w:r>
        <w:rPr>
          <w:rFonts w:ascii="宋体" w:hAnsi="宋体" w:eastAsia="宋体" w:cs="宋体"/>
          <w:b/>
          <w:bCs/>
          <w:sz w:val="24"/>
          <w:szCs w:val="24"/>
        </w:rPr>
        <w:t>虚假申报</w:t>
      </w:r>
      <w:r>
        <w:rPr>
          <w:rFonts w:ascii="宋体" w:hAnsi="宋体" w:eastAsia="宋体" w:cs="宋体"/>
          <w:b/>
          <w:bCs/>
          <w:sz w:val="24"/>
          <w:szCs w:val="24"/>
        </w:rPr>
        <w:br w:type="textWrapping"/>
      </w:r>
      <w:r>
        <w:rPr>
          <w:rFonts w:ascii="宋体" w:hAnsi="宋体" w:eastAsia="宋体" w:cs="宋体"/>
          <w:sz w:val="24"/>
          <w:szCs w:val="24"/>
        </w:rPr>
        <w:t>1、</w:t>
      </w:r>
      <w:r>
        <w:rPr>
          <w:rFonts w:ascii="宋体" w:hAnsi="宋体" w:eastAsia="宋体" w:cs="宋体"/>
          <w:sz w:val="24"/>
          <w:szCs w:val="24"/>
          <w:highlight w:val="yellow"/>
        </w:rPr>
        <w:t>累计撤销占累计申报50%以上</w:t>
      </w:r>
      <w:r>
        <w:rPr>
          <w:rFonts w:ascii="宋体" w:hAnsi="宋体" w:eastAsia="宋体" w:cs="宋体"/>
          <w:sz w:val="24"/>
          <w:szCs w:val="24"/>
        </w:rPr>
        <w:br w:type="textWrapping"/>
      </w:r>
      <w:r>
        <w:rPr>
          <w:rFonts w:ascii="宋体" w:hAnsi="宋体" w:eastAsia="宋体" w:cs="宋体"/>
          <w:sz w:val="24"/>
          <w:szCs w:val="24"/>
        </w:rPr>
        <w:t>2、主板风险警示股票以偏离收盘价3%以上的价格或其他股票以偏离收盘价5%以上的价格申报买入或卖出</w:t>
      </w:r>
      <w:r>
        <w:rPr>
          <w:rFonts w:ascii="宋体" w:hAnsi="宋体" w:eastAsia="宋体" w:cs="宋体"/>
          <w:sz w:val="24"/>
          <w:szCs w:val="24"/>
        </w:rPr>
        <w:br w:type="textWrapping"/>
      </w:r>
      <w:r>
        <w:rPr>
          <w:rFonts w:ascii="宋体" w:hAnsi="宋体" w:eastAsia="宋体" w:cs="宋体"/>
          <w:sz w:val="24"/>
          <w:szCs w:val="24"/>
        </w:rPr>
        <w:t>（</w:t>
      </w:r>
      <w:r>
        <w:rPr>
          <w:rFonts w:ascii="宋体" w:hAnsi="宋体" w:eastAsia="宋体" w:cs="宋体"/>
          <w:sz w:val="24"/>
          <w:szCs w:val="24"/>
          <w:highlight w:val="yellow"/>
        </w:rPr>
        <w:t>反向申报</w:t>
      </w:r>
      <w:r>
        <w:rPr>
          <w:rFonts w:ascii="宋体" w:hAnsi="宋体" w:eastAsia="宋体" w:cs="宋体"/>
          <w:sz w:val="24"/>
          <w:szCs w:val="24"/>
        </w:rPr>
        <w:t>：买入立即以更低卖出或卖出后以更高买入，例如在集合竞价初期通过大量高价买入申报影响虚拟开盘参考价，随后撤销并以接近开盘价卖出）</w:t>
      </w:r>
      <w:r>
        <w:rPr>
          <w:rFonts w:ascii="宋体" w:hAnsi="宋体" w:eastAsia="宋体" w:cs="宋体"/>
          <w:sz w:val="24"/>
          <w:szCs w:val="24"/>
        </w:rPr>
        <w:br w:type="textWrapping"/>
      </w:r>
      <w:r>
        <w:rPr>
          <w:rFonts w:ascii="宋体" w:hAnsi="宋体" w:eastAsia="宋体" w:cs="宋体"/>
          <w:b/>
          <w:bCs/>
          <w:sz w:val="24"/>
          <w:szCs w:val="24"/>
        </w:rPr>
        <w:t>二、拉抬打压股价</w:t>
      </w:r>
      <w:r>
        <w:rPr>
          <w:rFonts w:ascii="宋体" w:hAnsi="宋体" w:eastAsia="宋体" w:cs="宋体"/>
          <w:b/>
          <w:bCs/>
          <w:sz w:val="24"/>
          <w:szCs w:val="24"/>
        </w:rPr>
        <w:br w:type="textWrapping"/>
      </w:r>
      <w:r>
        <w:rPr>
          <w:rFonts w:ascii="宋体" w:hAnsi="宋体" w:eastAsia="宋体" w:cs="宋体"/>
          <w:sz w:val="24"/>
          <w:szCs w:val="24"/>
        </w:rPr>
        <w:t>1、同时满足风险警示股票成交数量在30万股以上或者金额在100万以上，其他股票在30万股以上或者金额300万以上，成交数量占市场成交比例30%以上，以及满足一下任意一条</w:t>
      </w:r>
      <w:r>
        <w:rPr>
          <w:rFonts w:ascii="宋体" w:hAnsi="宋体" w:eastAsia="宋体" w:cs="宋体"/>
          <w:sz w:val="24"/>
          <w:szCs w:val="24"/>
        </w:rPr>
        <w:br w:type="textWrapping"/>
      </w:r>
      <w:r>
        <w:rPr>
          <w:rFonts w:ascii="宋体" w:hAnsi="宋体" w:eastAsia="宋体" w:cs="宋体"/>
          <w:sz w:val="24"/>
          <w:szCs w:val="24"/>
        </w:rPr>
        <w:t>股票开盘价达到涨跌幅限制的，在涨跌幅申报数量占总申报数量的10%以上</w:t>
      </w:r>
      <w:r>
        <w:rPr>
          <w:rFonts w:ascii="宋体" w:hAnsi="宋体" w:eastAsia="宋体" w:cs="宋体"/>
          <w:sz w:val="24"/>
          <w:szCs w:val="24"/>
        </w:rPr>
        <w:br w:type="textWrapping"/>
      </w:r>
      <w:r>
        <w:rPr>
          <w:rFonts w:ascii="宋体" w:hAnsi="宋体" w:eastAsia="宋体" w:cs="宋体"/>
          <w:sz w:val="24"/>
          <w:szCs w:val="24"/>
        </w:rPr>
        <w:t>连续竞价阶段任意3分钟内上证50指数成分股涨跌幅2%以上，其他股票涨跌幅4%以上</w:t>
      </w:r>
      <w:r>
        <w:rPr>
          <w:rFonts w:ascii="宋体" w:hAnsi="宋体" w:eastAsia="宋体" w:cs="宋体"/>
          <w:sz w:val="24"/>
          <w:szCs w:val="24"/>
        </w:rPr>
        <w:br w:type="textWrapping"/>
      </w:r>
      <w:r>
        <w:rPr>
          <w:rFonts w:ascii="宋体" w:hAnsi="宋体" w:eastAsia="宋体" w:cs="宋体"/>
          <w:sz w:val="24"/>
          <w:szCs w:val="24"/>
        </w:rPr>
        <w:t>收盘集合竞价阶段上证50指数成分股涨跌幅2%以上，其他股票涨跌幅3%以上</w:t>
      </w:r>
      <w:r>
        <w:rPr>
          <w:rFonts w:ascii="宋体" w:hAnsi="宋体" w:eastAsia="宋体" w:cs="宋体"/>
          <w:sz w:val="24"/>
          <w:szCs w:val="24"/>
        </w:rPr>
        <w:br w:type="textWrapping"/>
      </w:r>
      <w:r>
        <w:rPr>
          <w:rFonts w:ascii="宋体" w:hAnsi="宋体" w:eastAsia="宋体" w:cs="宋体"/>
          <w:sz w:val="24"/>
          <w:szCs w:val="24"/>
        </w:rPr>
        <w:t>2、满足开盘竞价阶段/连续竞价阶段任意三分钟内/收盘竞价阶段风险警示股票成交数量在30万股以上或者金额在100万以上，其他股票在30万股以上或者金额300万以上，成交数量占市场成交比例30%以上，以及满足</w:t>
      </w:r>
      <w:r>
        <w:rPr>
          <w:rFonts w:ascii="宋体" w:hAnsi="宋体" w:eastAsia="宋体" w:cs="宋体"/>
          <w:sz w:val="24"/>
          <w:szCs w:val="24"/>
        </w:rPr>
        <w:br w:type="textWrapping"/>
      </w:r>
      <w:r>
        <w:rPr>
          <w:rFonts w:ascii="宋体" w:hAnsi="宋体" w:eastAsia="宋体" w:cs="宋体"/>
          <w:sz w:val="24"/>
          <w:szCs w:val="24"/>
        </w:rPr>
        <w:t>当日十点前反向买入（卖出）成交数量在10万股以上或金额在100万以上/</w:t>
      </w:r>
    </w:p>
    <w:p>
      <w:pPr>
        <w:numPr>
          <w:ilvl w:val="0"/>
          <w:numId w:val="0"/>
        </w:numPr>
        <w:rPr>
          <w:rFonts w:ascii="宋体" w:hAnsi="宋体" w:eastAsia="宋体" w:cs="宋体"/>
          <w:sz w:val="24"/>
          <w:szCs w:val="24"/>
        </w:rPr>
      </w:pPr>
      <w:r>
        <w:rPr>
          <w:rFonts w:ascii="宋体" w:hAnsi="宋体" w:eastAsia="宋体" w:cs="宋体"/>
          <w:sz w:val="24"/>
          <w:szCs w:val="24"/>
        </w:rPr>
        <w:t>连续竞价阶段任意三分钟及其后30分钟内累计反向成交数量10万股以上或者金额在100万以上/</w:t>
      </w:r>
    </w:p>
    <w:p>
      <w:pPr>
        <w:numPr>
          <w:ilvl w:val="0"/>
          <w:numId w:val="0"/>
        </w:numPr>
        <w:rPr>
          <w:rFonts w:ascii="宋体" w:hAnsi="宋体" w:eastAsia="宋体" w:cs="宋体"/>
          <w:sz w:val="24"/>
          <w:szCs w:val="24"/>
        </w:rPr>
      </w:pPr>
      <w:r>
        <w:rPr>
          <w:rFonts w:ascii="宋体" w:hAnsi="宋体" w:eastAsia="宋体" w:cs="宋体"/>
          <w:sz w:val="24"/>
          <w:szCs w:val="24"/>
        </w:rPr>
        <w:t>收盘集合竞价阶段及次一交易日10点前累计反向成交10万股以上或金额100万以上</w:t>
      </w:r>
      <w:r>
        <w:rPr>
          <w:rFonts w:ascii="宋体" w:hAnsi="宋体" w:eastAsia="宋体" w:cs="宋体"/>
          <w:sz w:val="24"/>
          <w:szCs w:val="24"/>
        </w:rPr>
        <w:br w:type="textWrapping"/>
      </w:r>
      <w:r>
        <w:rPr>
          <w:rFonts w:ascii="宋体" w:hAnsi="宋体" w:eastAsia="宋体" w:cs="宋体"/>
          <w:b/>
          <w:bCs/>
          <w:sz w:val="24"/>
          <w:szCs w:val="24"/>
        </w:rPr>
        <w:t>三、维持涨跌幅价格限制</w:t>
      </w:r>
      <w:r>
        <w:rPr>
          <w:rFonts w:ascii="宋体" w:hAnsi="宋体" w:eastAsia="宋体" w:cs="宋体"/>
          <w:b/>
          <w:bCs/>
          <w:sz w:val="24"/>
          <w:szCs w:val="24"/>
        </w:rPr>
        <w:br w:type="textWrapping"/>
      </w:r>
      <w:r>
        <w:rPr>
          <w:rFonts w:ascii="宋体" w:hAnsi="宋体" w:eastAsia="宋体" w:cs="宋体"/>
          <w:sz w:val="24"/>
          <w:szCs w:val="24"/>
        </w:rPr>
        <w:t>1、涨跌幅时，申报风险警示股票数量在50万股以上或金额在200万以上，其他股票数量100万股以上或金额在1000万以上，且占申报总量30%以上，持续状态10分钟以上或持续至连续竞价结束，且累计成交比例低于70%</w:t>
      </w:r>
      <w:r>
        <w:rPr>
          <w:rFonts w:ascii="宋体" w:hAnsi="宋体" w:eastAsia="宋体" w:cs="宋体"/>
          <w:sz w:val="24"/>
          <w:szCs w:val="24"/>
        </w:rPr>
        <w:br w:type="textWrapping"/>
      </w:r>
      <w:r>
        <w:rPr>
          <w:rFonts w:ascii="宋体" w:hAnsi="宋体" w:eastAsia="宋体" w:cs="宋体"/>
          <w:b/>
          <w:bCs/>
          <w:sz w:val="24"/>
          <w:szCs w:val="24"/>
        </w:rPr>
        <w:t>四、自买自卖或互为对手方交易（对敲行为）</w:t>
      </w:r>
      <w:r>
        <w:rPr>
          <w:rFonts w:ascii="宋体" w:hAnsi="宋体" w:eastAsia="宋体" w:cs="宋体"/>
          <w:b/>
          <w:bCs/>
          <w:sz w:val="24"/>
          <w:szCs w:val="24"/>
        </w:rPr>
        <w:br w:type="textWrapping"/>
      </w:r>
      <w:r>
        <w:rPr>
          <w:rFonts w:ascii="宋体" w:hAnsi="宋体" w:eastAsia="宋体" w:cs="宋体"/>
          <w:sz w:val="24"/>
          <w:szCs w:val="24"/>
        </w:rPr>
        <w:t>1、在单个账户或自己实际控制的账户之间或两个及两个以上涉嫌关联的账户之间互为对手方交易，成交占成交总量10%以上或者收盘集合竞价阶段成交占总量的30%以上</w:t>
      </w:r>
      <w:r>
        <w:rPr>
          <w:rFonts w:ascii="宋体" w:hAnsi="宋体" w:eastAsia="宋体" w:cs="宋体"/>
          <w:sz w:val="24"/>
          <w:szCs w:val="24"/>
        </w:rPr>
        <w:br w:type="textWrapping"/>
      </w:r>
      <w:r>
        <w:rPr>
          <w:rFonts w:ascii="宋体" w:hAnsi="宋体" w:eastAsia="宋体" w:cs="宋体"/>
          <w:b/>
          <w:bCs/>
          <w:sz w:val="24"/>
          <w:szCs w:val="24"/>
        </w:rPr>
        <w:t>五、严重异常波动股票申报速度异常</w:t>
      </w:r>
      <w:r>
        <w:rPr>
          <w:rFonts w:ascii="宋体" w:hAnsi="宋体" w:eastAsia="宋体" w:cs="宋体"/>
          <w:b/>
          <w:bCs/>
          <w:sz w:val="24"/>
          <w:szCs w:val="24"/>
        </w:rPr>
        <w:br w:type="textWrapping"/>
      </w:r>
      <w:r>
        <w:rPr>
          <w:rFonts w:ascii="宋体" w:hAnsi="宋体" w:eastAsia="宋体" w:cs="宋体"/>
          <w:sz w:val="24"/>
          <w:szCs w:val="24"/>
        </w:rPr>
        <w:t>1、在股票出现严重异常波动情形后10个交易日内，连续竞价阶段1分钟内单向申报买入（单只）严重异常波动股票金额巨大的（风险警示股票数量在50万股以上或金额在200万以上，其他股票数量100万股以上或金额在1000万以上）</w:t>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第三十一条 投资者交易行为存在下列情形之一的，属于高频交易：</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（一）单个账户每秒申报、撤单的最高笔数达到300笔以上；</w:t>
      </w:r>
    </w:p>
    <w:p>
      <w:pPr>
        <w:numPr>
          <w:ilvl w:val="0"/>
          <w:numId w:val="0"/>
        </w:numPr>
        <w:rPr>
          <w:rFonts w:hint="eastAsia" w:ascii="宋体" w:hAnsi="宋体" w:eastAsia="宋体" w:cs="宋体"/>
          <w:sz w:val="24"/>
          <w:szCs w:val="24"/>
        </w:rPr>
      </w:pPr>
    </w:p>
    <w:p>
      <w:pPr>
        <w:numPr>
          <w:ilvl w:val="0"/>
          <w:numId w:val="2"/>
        </w:numPr>
        <w:rPr>
          <w:rFonts w:hint="eastAsia" w:ascii="宋体" w:hAnsi="宋体" w:eastAsia="宋体" w:cs="宋体"/>
          <w:sz w:val="24"/>
          <w:szCs w:val="24"/>
        </w:rPr>
      </w:pPr>
      <w:r>
        <w:rPr>
          <w:rFonts w:hint="eastAsia" w:ascii="宋体" w:hAnsi="宋体" w:eastAsia="宋体" w:cs="宋体"/>
          <w:sz w:val="24"/>
          <w:szCs w:val="24"/>
        </w:rPr>
        <w:t>单个账户单日申报、撤单的最高笔数达到20000笔以上；</w:t>
      </w:r>
    </w:p>
    <w:p>
      <w:pPr>
        <w:numPr>
          <w:ilvl w:val="0"/>
          <w:numId w:val="0"/>
        </w:numPr>
        <w:rPr>
          <w:rFonts w:hint="eastAsia" w:ascii="宋体" w:hAnsi="宋体" w:eastAsia="宋体" w:cs="宋体"/>
          <w:sz w:val="24"/>
          <w:szCs w:val="24"/>
        </w:rPr>
      </w:pPr>
    </w:p>
    <w:p>
      <w:pPr>
        <w:widowControl w:val="0"/>
        <w:numPr>
          <w:ilvl w:val="0"/>
          <w:numId w:val="0"/>
        </w:numPr>
        <w:jc w:val="both"/>
        <w:rPr>
          <w:rFonts w:hint="eastAsia" w:ascii="宋体" w:hAnsi="宋体" w:eastAsia="宋体" w:cs="宋体"/>
          <w:sz w:val="24"/>
          <w:szCs w:val="24"/>
        </w:rPr>
      </w:pPr>
      <w:r>
        <w:rPr>
          <w:rFonts w:hint="eastAsia" w:ascii="宋体" w:hAnsi="宋体" w:eastAsia="宋体" w:cs="宋体"/>
          <w:sz w:val="24"/>
          <w:szCs w:val="24"/>
        </w:rPr>
        <w:t>第十七条 可能影响本所系统安全或者正常交易秩序的股票异常交易行为包括：</w:t>
      </w:r>
    </w:p>
    <w:p>
      <w:pPr>
        <w:widowControl w:val="0"/>
        <w:numPr>
          <w:ilvl w:val="0"/>
          <w:numId w:val="0"/>
        </w:numPr>
        <w:jc w:val="both"/>
        <w:rPr>
          <w:rFonts w:hint="eastAsia" w:ascii="宋体" w:hAnsi="宋体" w:eastAsia="宋体" w:cs="宋体"/>
          <w:sz w:val="24"/>
          <w:szCs w:val="24"/>
        </w:rPr>
      </w:pPr>
    </w:p>
    <w:p>
      <w:pPr>
        <w:widowControl w:val="0"/>
        <w:numPr>
          <w:ilvl w:val="0"/>
          <w:numId w:val="3"/>
        </w:numPr>
        <w:jc w:val="both"/>
        <w:rPr>
          <w:rFonts w:hint="eastAsia" w:ascii="宋体" w:hAnsi="宋体" w:eastAsia="宋体" w:cs="宋体"/>
          <w:sz w:val="24"/>
          <w:szCs w:val="24"/>
        </w:rPr>
      </w:pPr>
      <w:r>
        <w:rPr>
          <w:rFonts w:hint="eastAsia" w:ascii="宋体" w:hAnsi="宋体" w:eastAsia="宋体" w:cs="宋体"/>
          <w:sz w:val="24"/>
          <w:szCs w:val="24"/>
        </w:rPr>
        <w:t>瞬时申报速率异常，是指极短时间内申报笔数巨大，即 1 秒钟内申报、撤单笔数达到一定标准；</w:t>
      </w:r>
      <w:r>
        <w:rPr>
          <w:rFonts w:hint="eastAsia" w:ascii="宋体" w:hAnsi="宋体" w:eastAsia="宋体" w:cs="宋体"/>
          <w:sz w:val="24"/>
          <w:szCs w:val="24"/>
          <w:lang w:val="en-US" w:eastAsia="zh-CN"/>
        </w:rPr>
        <w:t>500</w:t>
      </w:r>
    </w:p>
    <w:p>
      <w:pPr>
        <w:widowControl w:val="0"/>
        <w:numPr>
          <w:ilvl w:val="0"/>
          <w:numId w:val="3"/>
        </w:numPr>
        <w:ind w:left="0" w:leftChars="0" w:firstLine="0" w:firstLineChars="0"/>
        <w:jc w:val="both"/>
        <w:rPr>
          <w:rFonts w:hint="eastAsia" w:ascii="宋体" w:hAnsi="宋体" w:eastAsia="宋体" w:cs="宋体"/>
          <w:sz w:val="24"/>
          <w:szCs w:val="24"/>
        </w:rPr>
      </w:pPr>
      <w:r>
        <w:rPr>
          <w:rFonts w:hint="eastAsia" w:ascii="宋体" w:hAnsi="宋体" w:eastAsia="宋体" w:cs="宋体"/>
          <w:sz w:val="24"/>
          <w:szCs w:val="24"/>
        </w:rPr>
        <w:t>频繁瞬时撤单，是指日内频繁出现申报后迅速撤单、全日撤单比例较高，即全日发生多次1 秒钟内申报又撤单的情形，且全日撤单比例达到一定标准；（三）频繁拉抬打压，是指日内多次在单只或者多只股票上出现小幅拉抬打压，即全日多次出现个股1 分钟内涨（跌）幅度和期间投资者成交数量占比达到一定标准；</w:t>
      </w:r>
    </w:p>
    <w:p>
      <w:pPr>
        <w:widowControl w:val="0"/>
        <w:numPr>
          <w:ilvl w:val="0"/>
          <w:numId w:val="3"/>
        </w:numPr>
        <w:ind w:left="0" w:leftChars="0" w:firstLine="0" w:firstLineChars="0"/>
        <w:jc w:val="both"/>
        <w:rPr>
          <w:rFonts w:hint="eastAsia" w:ascii="宋体" w:hAnsi="宋体" w:eastAsia="宋体" w:cs="宋体"/>
          <w:sz w:val="24"/>
          <w:szCs w:val="24"/>
        </w:rPr>
      </w:pPr>
      <w:r>
        <w:rPr>
          <w:rFonts w:hint="eastAsia" w:ascii="宋体" w:hAnsi="宋体" w:eastAsia="宋体" w:cs="宋体"/>
          <w:sz w:val="24"/>
          <w:szCs w:val="24"/>
        </w:rPr>
        <w:t>短时间大额成交，是指短时间内买入（卖出）金额特别巨大，加剧本所主要指数波动，即深证成指、深证综指或者创业板指 1 分钟内涨（跌）幅度、期间投资者主动买入（卖出）金额及占比达到一定标准；</w:t>
      </w: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eastAsia" w:ascii="宋体" w:hAnsi="宋体" w:eastAsia="宋体" w:cs="宋体"/>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eastAsia" w:ascii="Consolas" w:hAnsi="Consolas" w:cs="Consolas"/>
          <w:i w:val="0"/>
          <w:iCs w:val="0"/>
          <w:caps w:val="0"/>
          <w:color w:val="404040"/>
          <w:spacing w:val="0"/>
          <w:sz w:val="24"/>
          <w:szCs w:val="24"/>
          <w:lang w:val="en-US" w:eastAsia="zh-CN"/>
        </w:rPr>
        <w:t xml:space="preserve">   </w:t>
      </w:r>
      <w:r>
        <w:rPr>
          <w:rFonts w:hint="default" w:ascii="Consolas" w:hAnsi="Consolas" w:eastAsia="Consolas" w:cs="Consolas"/>
          <w:i w:val="0"/>
          <w:iCs w:val="0"/>
          <w:caps w:val="0"/>
          <w:color w:val="BA2121"/>
          <w:spacing w:val="0"/>
          <w:sz w:val="24"/>
          <w:szCs w:val="24"/>
        </w:rPr>
        <w:t>"SHSE"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上海证券交易所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"SZSE"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2</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深圳证券交易所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"CFFEX"</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3</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中国金融期货交易所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"SHFE"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4</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上海期货交易所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"DCE"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5</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大连商品交易所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"CZCE"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6</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郑州商品交易所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"INE"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7</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上海国际能源交易中心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"SGE"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8</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上海黄金交易所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宋体" w:cs="Consolas"/>
          <w:i w:val="0"/>
          <w:iCs w:val="0"/>
          <w:caps w:val="0"/>
          <w:color w:val="404040"/>
          <w:spacing w:val="0"/>
          <w:sz w:val="24"/>
          <w:szCs w:val="24"/>
          <w:lang w:val="en-US" w:eastAsia="zh-CN"/>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"HKEX"</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9</w:t>
      </w:r>
      <w:r>
        <w:rPr>
          <w:rFonts w:hint="default" w:ascii="Consolas" w:hAnsi="Consolas" w:eastAsia="Consolas" w:cs="Consolas"/>
          <w:i w:val="0"/>
          <w:iCs w:val="0"/>
          <w:caps w:val="0"/>
          <w:color w:val="404040"/>
          <w:spacing w:val="0"/>
          <w:sz w:val="24"/>
          <w:szCs w:val="24"/>
        </w:rPr>
        <w:t>,</w:t>
      </w:r>
      <w:r>
        <w:rPr>
          <w:rFonts w:hint="eastAsia" w:ascii="Consolas" w:hAnsi="Consolas" w:cs="Consolas"/>
          <w:i w:val="0"/>
          <w:iCs w:val="0"/>
          <w:caps w:val="0"/>
          <w:color w:val="404040"/>
          <w:spacing w:val="0"/>
          <w:sz w:val="24"/>
          <w:szCs w:val="24"/>
          <w:lang w:val="en-US" w:eastAsia="zh-CN"/>
        </w:rPr>
        <w:t xml:space="preserve">   # 香港交易所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"SGX"</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10</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新加坡交易所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"WXBXG"</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11</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无锡不锈钢电子交易中心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"BINANCE"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12</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币安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"BSE"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13</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北京证券交易所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"CBOT"</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14</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芝加哥期货交易所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"CME"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15</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芝加哥商品交易所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"COMEX"</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16</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纽约商品交易所COMEX分部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"NYMEX"</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17</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纽约商品交易所NYMEX分部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hint="default"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"LME"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18</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伦敦金属交易所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rPr>
          <w:rFonts w:ascii="Consolas" w:hAnsi="Consolas" w:eastAsia="Consolas" w:cs="Consolas"/>
          <w:i w:val="0"/>
          <w:iCs w:val="0"/>
          <w:caps w:val="0"/>
          <w:color w:val="404040"/>
          <w:spacing w:val="0"/>
          <w:sz w:val="24"/>
          <w:szCs w:val="24"/>
        </w:rPr>
      </w:pP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val="0"/>
          <w:iCs w:val="0"/>
          <w:caps w:val="0"/>
          <w:color w:val="BA2121"/>
          <w:spacing w:val="0"/>
          <w:sz w:val="24"/>
          <w:szCs w:val="24"/>
        </w:rPr>
        <w:t>"NSE"</w:t>
      </w:r>
      <w:r>
        <w:rPr>
          <w:rFonts w:hint="default" w:ascii="Consolas" w:hAnsi="Consolas" w:eastAsia="Consolas" w:cs="Consolas"/>
          <w:i w:val="0"/>
          <w:iCs w:val="0"/>
          <w:caps w:val="0"/>
          <w:color w:val="404040"/>
          <w:spacing w:val="0"/>
          <w:sz w:val="24"/>
          <w:szCs w:val="24"/>
        </w:rPr>
        <w:t>:</w:t>
      </w:r>
      <w:r>
        <w:rPr>
          <w:rFonts w:hint="default" w:ascii="Consolas" w:hAnsi="Consolas" w:eastAsia="Consolas" w:cs="Consolas"/>
          <w:i w:val="0"/>
          <w:iCs w:val="0"/>
          <w:caps w:val="0"/>
          <w:color w:val="666666"/>
          <w:spacing w:val="0"/>
          <w:sz w:val="24"/>
          <w:szCs w:val="24"/>
        </w:rPr>
        <w:t>19</w:t>
      </w:r>
      <w:r>
        <w:rPr>
          <w:rFonts w:hint="default" w:ascii="Consolas" w:hAnsi="Consolas" w:eastAsia="Consolas" w:cs="Consolas"/>
          <w:i w:val="0"/>
          <w:iCs w:val="0"/>
          <w:caps w:val="0"/>
          <w:color w:val="404040"/>
          <w:spacing w:val="0"/>
          <w:sz w:val="24"/>
          <w:szCs w:val="24"/>
        </w:rPr>
        <w:t xml:space="preserve">, </w:t>
      </w:r>
      <w:r>
        <w:rPr>
          <w:rFonts w:hint="default" w:ascii="Consolas" w:hAnsi="Consolas" w:eastAsia="Consolas" w:cs="Consolas"/>
          <w:i/>
          <w:iCs/>
          <w:caps w:val="0"/>
          <w:color w:val="3D7B7B"/>
          <w:spacing w:val="0"/>
          <w:sz w:val="24"/>
          <w:szCs w:val="24"/>
        </w:rPr>
        <w:t># 印度国家证券交易所</w:t>
      </w: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资金分配：</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中性产品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股票+股票预留+期货+期货预留=1+0.1+0.12+0.03=1.25，1/1.25=0.8</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指增产品</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股票+股票预留+期货+期货预留=x+0.1x+0.12(5000-x)+0.03(5000-x)=0.95x+5000*0.15&lt;=5000</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0.95x&lt;=5000*(1-0.15)</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x/5000&lt;=0.85/0.95=0.8947</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基差=期货价格-现货价格</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基差贴水</w:t>
      </w:r>
      <w:r>
        <w:rPr>
          <w:rFonts w:hint="eastAsia" w:ascii="宋体" w:hAnsi="宋体" w:eastAsia="宋体" w:cs="宋体"/>
          <w:sz w:val="24"/>
          <w:szCs w:val="24"/>
          <w:lang w:val="en-US" w:eastAsia="zh-CN"/>
        </w:rPr>
        <w:t>：期货价格&lt;现货价格，空头头寸成本增加，需要以更高的价格买入股指期货对冲，从而导致建仓成本增加，不利于中性产品建仓，基本全年处于贴水状态。</w:t>
      </w:r>
    </w:p>
    <w:p>
      <w:pPr>
        <w:widowControl w:val="0"/>
        <w:numPr>
          <w:ilvl w:val="0"/>
          <w:numId w:val="0"/>
        </w:num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基差贴水对中性产品建仓的影响</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中国股指期货市场常年处于贴水状态，主要是由于对冲工具有限，所以中性策略绝大多数采用卖空股指期货的方式对冲beta风险，赚取超额收益，导致股指期货的价值相对现货指数低。</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现货价格比期货价格越高，或者称为</w:t>
      </w:r>
      <w:r>
        <w:rPr>
          <w:rFonts w:hint="eastAsia" w:ascii="宋体" w:hAnsi="宋体" w:eastAsia="宋体" w:cs="宋体"/>
          <w:sz w:val="24"/>
          <w:szCs w:val="24"/>
          <w:highlight w:val="yellow"/>
          <w:lang w:val="en-US" w:eastAsia="zh-CN"/>
        </w:rPr>
        <w:t>贴水程度越深，空头端亏损越多，也就是建仓成本越高</w:t>
      </w:r>
      <w:r>
        <w:rPr>
          <w:rFonts w:hint="eastAsia" w:ascii="宋体" w:hAnsi="宋体" w:eastAsia="宋体" w:cs="宋体"/>
          <w:sz w:val="24"/>
          <w:szCs w:val="24"/>
          <w:lang w:val="en-US" w:eastAsia="zh-CN"/>
        </w:rPr>
        <w:t>，不适宜建仓中性产品。</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不少选择在基差升水的时候加仓中性，相当于锁定了一部分基差的正收益。</w:t>
      </w:r>
    </w:p>
    <w:p>
      <w:pPr>
        <w:widowControl w:val="0"/>
        <w:numPr>
          <w:ilvl w:val="0"/>
          <w:numId w:val="0"/>
        </w:num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从存续中性产品策略来看</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基差扩大的过程，有利于存续中性产品的净值表现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基差收敛，或贴水减弱，不利于存续中性产品净值回撤</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中性产品建仓后，基差的收敛或扩张变化会造成对冲产品的浮盈或浮亏，进而对收益产生影响。但只是持有过程中的波动，不改变事先锁定的成本。</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基差升水</w:t>
      </w:r>
      <w:r>
        <w:rPr>
          <w:rFonts w:hint="eastAsia" w:ascii="宋体" w:hAnsi="宋体" w:eastAsia="宋体" w:cs="宋体"/>
          <w:sz w:val="24"/>
          <w:szCs w:val="24"/>
          <w:lang w:val="en-US" w:eastAsia="zh-CN"/>
        </w:rPr>
        <w:t>：期货价格&gt;现货价格，利于中性产品建仓</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基差收敛</w:t>
      </w:r>
      <w:r>
        <w:rPr>
          <w:rFonts w:hint="eastAsia" w:ascii="宋体" w:hAnsi="宋体" w:eastAsia="宋体" w:cs="宋体"/>
          <w:sz w:val="24"/>
          <w:szCs w:val="24"/>
          <w:lang w:val="en-US" w:eastAsia="zh-CN"/>
        </w:rPr>
        <w:t xml:space="preserve">：期货和现货之间的差值变小     </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中性产品 收益减少  （股票的收益弥补期货的亏损，差值变小，需要减掉的越多）</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指增产品 收益增加  （收益等于股票收益加期货，相当于期货收益增加）</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基差走阔</w:t>
      </w:r>
      <w:r>
        <w:rPr>
          <w:rFonts w:hint="eastAsia" w:ascii="宋体" w:hAnsi="宋体" w:eastAsia="宋体" w:cs="宋体"/>
          <w:sz w:val="24"/>
          <w:szCs w:val="24"/>
          <w:lang w:val="en-US" w:eastAsia="zh-CN"/>
        </w:rPr>
        <w:t>：期货和现货之间的差值变大</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中性产品 收益增加  （差值变大，需要减掉的变小）</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指增产品 收益减少   （相当于期货收益减少，总收益减少）</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 中证500现货价格4000点，3月后到期的股指期货合约价格3950点</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基差=3950-4000=-50，期货贴水，若投资者判断未来现货价格上涨，则期货价格也上涨，那么可以考虑买入期货合约，会有贴水的收益和预期上涨的收益</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风险警示：</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累计撤销占累计申报的50%以上</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秒内报单撤单500笔</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基差贴水不利于中性产品建仓</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基差收敛，中性产品收益减少；基差走阔，中性产品收益增加。</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59070" cy="261620"/>
            <wp:effectExtent l="0" t="0" r="11430" b="5080"/>
            <wp:docPr id="1" name="图片 1" descr="173872041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38720414327"/>
                    <pic:cNvPicPr>
                      <a:picLocks noChangeAspect="1"/>
                    </pic:cNvPicPr>
                  </pic:nvPicPr>
                  <pic:blipFill>
                    <a:blip r:embed="rId4"/>
                    <a:stretch>
                      <a:fillRect/>
                    </a:stretch>
                  </pic:blipFill>
                  <pic:spPr>
                    <a:xfrm>
                      <a:off x="0" y="0"/>
                      <a:ext cx="5259070" cy="261620"/>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一般选择隔季合约进行对冲，因为贴水且稳定</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净持仓=买量-卖量，delta=净持仓*价格，可T率=可T/昨持仓，</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撤单率=撤单/报单，成交率=（报单-撤单）/报单</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市场占比=成交手数/市场总手数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总市值=昨持*昨收</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成交额=买量*买价+卖量*卖价</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成交量=买量+卖量</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疑问：</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Pnl=卖量*卖价-买量*买价+敞口*现价=怎么算</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买单卖单？</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为什么净持不为0</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买卖开平？-1.1   -100-100</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报单收益，对标收益？</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持股占比？</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买向市值，卖向市值，目标买向市值，目标卖向市值?</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涨跌幅限制：</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沪深主板：±10%</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科创板、创业板：±20%</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北交所：±30%</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ST股主板：±5%</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交易所规则</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60开头----上证A股</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0开头-----深圳A股</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3开头-----创业板</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688开头---科创板</w:t>
      </w:r>
    </w:p>
    <w:p>
      <w:pPr>
        <w:widowControl w:val="0"/>
        <w:numPr>
          <w:ilvl w:val="0"/>
          <w:numId w:val="0"/>
        </w:numPr>
        <w:jc w:val="left"/>
        <w:rPr>
          <w:rFonts w:hint="eastAsia" w:ascii="宋体" w:hAnsi="宋体" w:eastAsia="宋体" w:cs="宋体"/>
          <w:b w:val="0"/>
          <w:bCs w:val="0"/>
          <w:sz w:val="24"/>
          <w:szCs w:val="24"/>
          <w:lang w:val="en-US" w:eastAsia="zh-CN"/>
        </w:rPr>
      </w:pP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早盘集合竞价：</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9：15-9：20：可挂可撤</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9：20-9：25：可挂不可撤</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9：25-9：30：可挂可撤</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9点25产生开盘价，买入和卖出的数量尽可能接近已实现最大成交量</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9：25-9：30期间挂的单子9：30后集中处理</w:t>
      </w:r>
    </w:p>
    <w:p>
      <w:pPr>
        <w:widowControl w:val="0"/>
        <w:numPr>
          <w:ilvl w:val="0"/>
          <w:numId w:val="0"/>
        </w:numPr>
        <w:jc w:val="left"/>
        <w:rPr>
          <w:rFonts w:hint="eastAsia" w:ascii="宋体" w:hAnsi="宋体" w:eastAsia="宋体" w:cs="宋体"/>
          <w:b w:val="0"/>
          <w:bCs w:val="0"/>
          <w:sz w:val="24"/>
          <w:szCs w:val="24"/>
          <w:lang w:val="en-US" w:eastAsia="zh-CN"/>
        </w:rPr>
      </w:pP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收盘集合竞价：</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14：57-15：00：可挂不可撤</w:t>
      </w:r>
    </w:p>
    <w:p>
      <w:pPr>
        <w:widowControl w:val="0"/>
        <w:numPr>
          <w:ilvl w:val="0"/>
          <w:numId w:val="0"/>
        </w:numPr>
        <w:jc w:val="left"/>
        <w:rPr>
          <w:rFonts w:hint="eastAsia" w:ascii="宋体" w:hAnsi="宋体" w:eastAsia="宋体" w:cs="宋体"/>
          <w:b w:val="0"/>
          <w:bCs w:val="0"/>
          <w:sz w:val="24"/>
          <w:szCs w:val="24"/>
          <w:lang w:val="en-US" w:eastAsia="zh-CN"/>
        </w:rPr>
      </w:pP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碎股成交规则：需一次性申报卖出</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成交价格=（买价+卖价）/2</w:t>
      </w:r>
    </w:p>
    <w:p>
      <w:pPr>
        <w:widowControl w:val="0"/>
        <w:numPr>
          <w:ilvl w:val="0"/>
          <w:numId w:val="0"/>
        </w:numPr>
        <w:jc w:val="left"/>
        <w:rPr>
          <w:rFonts w:hint="default" w:ascii="宋体" w:hAnsi="宋体" w:eastAsia="宋体" w:cs="宋体"/>
          <w:b w:val="0"/>
          <w:bCs w:val="0"/>
          <w:sz w:val="24"/>
          <w:szCs w:val="24"/>
          <w:lang w:val="en-US" w:eastAsia="zh-CN"/>
        </w:rPr>
      </w:pPr>
    </w:p>
    <w:p>
      <w:pPr>
        <w:widowControl w:val="0"/>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撮合规则：</w:t>
      </w:r>
    </w:p>
    <w:p>
      <w:pPr>
        <w:widowControl w:val="0"/>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买单价格高的优先成交，卖单价格低的优先成交；</w:t>
      </w:r>
    </w:p>
    <w:p>
      <w:pPr>
        <w:widowControl w:val="0"/>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相同价格按提交时间顺序成交；</w:t>
      </w:r>
    </w:p>
    <w:p>
      <w:pPr>
        <w:widowControl w:val="0"/>
        <w:numPr>
          <w:ilvl w:val="0"/>
          <w:numId w:val="0"/>
        </w:numPr>
        <w:jc w:val="left"/>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市价单以当前最优价格成交，可以能会产生滑点</w:t>
      </w:r>
      <w:r>
        <w:rPr>
          <w:rFonts w:hint="eastAsia" w:ascii="宋体" w:hAnsi="宋体" w:eastAsia="宋体" w:cs="宋体"/>
          <w:b w:val="0"/>
          <w:bCs w:val="0"/>
          <w:sz w:val="24"/>
          <w:szCs w:val="24"/>
          <w:lang w:val="en-US" w:eastAsia="zh-CN"/>
        </w:rPr>
        <w:t>；</w:t>
      </w:r>
    </w:p>
    <w:p>
      <w:pPr>
        <w:widowControl w:val="0"/>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限价单按指定价格成交，未达到指定价格则挂单等待</w:t>
      </w:r>
    </w:p>
    <w:p>
      <w:pPr>
        <w:widowControl w:val="0"/>
        <w:numPr>
          <w:ilvl w:val="0"/>
          <w:numId w:val="0"/>
        </w:numPr>
        <w:jc w:val="left"/>
        <w:rPr>
          <w:rFonts w:ascii="宋体" w:hAnsi="宋体" w:eastAsia="宋体" w:cs="宋体"/>
          <w:sz w:val="24"/>
          <w:szCs w:val="24"/>
        </w:rPr>
      </w:pPr>
      <w:r>
        <w:rPr>
          <w:rFonts w:ascii="宋体" w:hAnsi="宋体" w:eastAsia="宋体" w:cs="宋体"/>
          <w:sz w:val="24"/>
          <w:szCs w:val="24"/>
        </w:rPr>
        <w:t>假如卖一为100,有500股,那么提交500股的市价单,会以100元成交,成交价格为100</w:t>
      </w:r>
    </w:p>
    <w:p>
      <w:pPr>
        <w:widowControl w:val="0"/>
        <w:numPr>
          <w:ilvl w:val="0"/>
          <w:numId w:val="0"/>
        </w:numPr>
        <w:jc w:val="left"/>
        <w:rPr>
          <w:rFonts w:ascii="宋体" w:hAnsi="宋体" w:eastAsia="宋体" w:cs="宋体"/>
          <w:sz w:val="24"/>
          <w:szCs w:val="24"/>
        </w:rPr>
      </w:pPr>
    </w:p>
    <w:p>
      <w:pPr>
        <w:widowControl w:val="0"/>
        <w:numPr>
          <w:ilvl w:val="0"/>
          <w:numId w:val="0"/>
        </w:numPr>
        <w:jc w:val="left"/>
        <w:rPr>
          <w:rFonts w:ascii="宋体" w:hAnsi="宋体" w:eastAsia="宋体" w:cs="宋体"/>
          <w:sz w:val="24"/>
          <w:szCs w:val="24"/>
        </w:rPr>
      </w:pPr>
    </w:p>
    <w:p>
      <w:pPr>
        <w:widowControl w:val="0"/>
        <w:numPr>
          <w:ilvl w:val="0"/>
          <w:numId w:val="0"/>
        </w:numPr>
        <w:jc w:val="left"/>
        <w:rPr>
          <w:rFonts w:ascii="宋体" w:hAnsi="宋体" w:eastAsia="宋体" w:cs="宋体"/>
          <w:sz w:val="24"/>
          <w:szCs w:val="24"/>
        </w:rPr>
      </w:pPr>
      <w:r>
        <w:rPr>
          <w:rFonts w:ascii="宋体" w:hAnsi="宋体" w:eastAsia="宋体" w:cs="宋体"/>
          <w:sz w:val="24"/>
          <w:szCs w:val="24"/>
        </w:rPr>
        <w:t>单票中，净持仓=买量-卖量，可T=昨持-今卖出量，Delta=净持*价格，成交率=1-撤单率，其中买单和卖单不太理解具体意思，换手率较高的一般收益率也较高，收益率大部分在正负10%内，少量出现正负20%几；T0调仓中，不确定：目标买卖向市值为目标买入卖出的市值，买卖向市值为实际买向市值，等于实际买向量*价格，进度一般在开盘半小时到一小时间走到98%-99%，报单收益率=报单收益/总市值，其中报单收益，对标收益，状态不理解具体含义；T0一篮子票中，换手率昨天在30%-50%左右，报单中买卖1为买，-1为卖，开平不太清楚1和-1的含义，胜率在30%-70%之间，收益率在千分之1以内</w:t>
      </w:r>
    </w:p>
    <w:p>
      <w:pPr>
        <w:widowControl w:val="0"/>
        <w:numPr>
          <w:ilvl w:val="0"/>
          <w:numId w:val="0"/>
        </w:numPr>
        <w:jc w:val="left"/>
        <w:rPr>
          <w:rFonts w:ascii="宋体" w:hAnsi="宋体" w:eastAsia="宋体" w:cs="宋体"/>
          <w:sz w:val="24"/>
          <w:szCs w:val="24"/>
        </w:rPr>
      </w:pPr>
    </w:p>
    <w:p>
      <w:pPr>
        <w:widowControl w:val="0"/>
        <w:numPr>
          <w:ilvl w:val="0"/>
          <w:numId w:val="0"/>
        </w:numPr>
        <w:jc w:val="left"/>
        <w:rPr>
          <w:rFonts w:ascii="宋体" w:hAnsi="宋体" w:eastAsia="宋体" w:cs="宋体"/>
          <w:sz w:val="24"/>
          <w:szCs w:val="24"/>
        </w:rPr>
      </w:pPr>
      <w:r>
        <w:rPr>
          <w:rFonts w:ascii="宋体" w:hAnsi="宋体" w:eastAsia="宋体" w:cs="宋体"/>
          <w:sz w:val="24"/>
          <w:szCs w:val="24"/>
        </w:rPr>
        <w:t>在一篮子票中，撤单率=报单/撤单，撤单率（量）是什么意思，市场占比一般比较低，离限制30%较远，撤单率控制在50%以下</w:t>
      </w:r>
    </w:p>
    <w:p>
      <w:pPr>
        <w:widowControl w:val="0"/>
        <w:numPr>
          <w:ilvl w:val="0"/>
          <w:numId w:val="0"/>
        </w:numPr>
        <w:jc w:val="left"/>
        <w:rPr>
          <w:rFonts w:ascii="宋体" w:hAnsi="宋体" w:eastAsia="宋体" w:cs="宋体"/>
          <w:sz w:val="24"/>
          <w:szCs w:val="24"/>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2405" cy="373380"/>
            <wp:effectExtent l="0" t="0" r="10795" b="7620"/>
            <wp:docPr id="2" name="图片 2" descr="企业微信截图_1738912626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7389126267658"/>
                    <pic:cNvPicPr>
                      <a:picLocks noChangeAspect="1"/>
                    </pic:cNvPicPr>
                  </pic:nvPicPr>
                  <pic:blipFill>
                    <a:blip r:embed="rId5"/>
                    <a:stretch>
                      <a:fillRect/>
                    </a:stretch>
                  </pic:blipFill>
                  <pic:spPr>
                    <a:xfrm>
                      <a:off x="0" y="0"/>
                      <a:ext cx="5272405" cy="373380"/>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第二天的母单</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Long td yd</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12000 0 14100（第二天的昨仓）</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基本概念：</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总手：目前为止该股的总成交量（手数）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现手：刚成交的一笔交易的手数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量比：当日总成交手数与近期平均成交手数的比值；若比值大于1，表示这个时刻的成交总手量已经放大，若量比数值小于1，表示这个时刻成交总手萎缩</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委比：（委买手数-委卖手数）/（委买手数+委卖手数）、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数值范围为-100%~+100%</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委比为正值，且数值很大时，表示买方力量比卖方力量强</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委买手数：当前委托买入前三挡的手数总和</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内盘：以买入的报价成交，俗称主动性抛盘</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外盘：以卖出的报价成交，俗称主动性买盘</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例如外盘32721内盘29452，说明主动性抛盘&lt;&lt;主动性买盘，对多方有利</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市盈率（PE）= 每股市价/每股收益（EPS）反应投资者对公司未来盈利能力的预期</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市净率（PB）= 每股市价/每股净资产 反应投资者对公司资产的价值评估</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交易所交易基金（ETFs）：可以在交易所上市交易的基金，是一揽子股票的投资组合</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上市型开放基金（LOF）：既可以在一级市场申购赎回又可以在二级市场买卖的开放式基金</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投资派别：价值投资、趋势交易、技术分析</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价值投资、基本面分析，寻找等于或低于其内在价值的价格标价的证券，持有时间长</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技术分析：追求短期快速盈利，以判断市场趋势并跟随趋势进行股票交易，认为市场行为包容消化一切信息、价格以趋势方式波动，持有时间长</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趋势交易：介于价值投资和技术分析之间，中长线投资</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庄家：能影响股票行情的机构大户投资者</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主力：能影响很多股票，甚至大盘走势的机构大户投资者</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基本面：国家宏观经济、上市公司基本情况</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一级市场：股份公司委托证券发行商发行原始股票的市场</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二级市场：已上市发行的证券进行买卖流通的市场</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选股票，看财务报表：资产负债表、损益表、现金流量表</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发现总结：</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旅行者中证1000东证深圳的胜率比较高 </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收益率靠前的行业：计算机、电子、通讯、传媒、新能源</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振幅较高、波动较大的收益率较高</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总体收益深圳&gt;上海</w:t>
      </w:r>
    </w:p>
    <w:p>
      <w:pPr>
        <w:widowControl w:val="0"/>
        <w:numPr>
          <w:ilvl w:val="0"/>
          <w:numId w:val="0"/>
        </w:numPr>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下午一点半的时候旅行者中证1000东证深圳有90只换手率在90%以上，结束的时候有106只，有一些换手率已满的股票后面有比较大的行情</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稳健2号的收益率稳定且较高</w:t>
      </w: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策略的好处：可以忽略股票今日总体涨跌，例如全程在0%以下的股票，收盘-5.2%，由于波动较大，策略收益率1.3%</w:t>
      </w:r>
    </w:p>
    <w:p>
      <w:pPr>
        <w:widowControl w:val="0"/>
        <w:numPr>
          <w:ilvl w:val="0"/>
          <w:numId w:val="0"/>
        </w:numPr>
        <w:jc w:val="left"/>
        <w:rPr>
          <w:rFonts w:hint="default" w:ascii="宋体" w:hAnsi="宋体" w:eastAsia="宋体" w:cs="宋体"/>
          <w:b w:val="0"/>
          <w:bCs w:val="0"/>
          <w:sz w:val="24"/>
          <w:szCs w:val="24"/>
          <w:lang w:val="en-US" w:eastAsia="zh-CN"/>
        </w:rPr>
      </w:pPr>
    </w:p>
    <w:p>
      <w:pPr>
        <w:widowControl w:val="0"/>
        <w:numPr>
          <w:ilvl w:val="0"/>
          <w:numId w:val="0"/>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遇到前期没有涨停，后期涨停的情况，收益率较差</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306320"/>
            <wp:effectExtent l="0" t="0" r="3810" b="5080"/>
            <wp:docPr id="3" name="图片 3" descr="46025993ab19b71d75c975dd103a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025993ab19b71d75c975dd103a05a"/>
                    <pic:cNvPicPr>
                      <a:picLocks noChangeAspect="1"/>
                    </pic:cNvPicPr>
                  </pic:nvPicPr>
                  <pic:blipFill>
                    <a:blip r:embed="rId6"/>
                    <a:stretch>
                      <a:fillRect/>
                    </a:stretch>
                  </pic:blipFill>
                  <pic:spPr>
                    <a:xfrm>
                      <a:off x="0" y="0"/>
                      <a:ext cx="5266690" cy="2306320"/>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54625" cy="2126615"/>
            <wp:effectExtent l="0" t="0" r="3175" b="6985"/>
            <wp:docPr id="4" name="图片 4" descr="2bac5c6cfbc1c9401d7de470150f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bac5c6cfbc1c9401d7de470150f446"/>
                    <pic:cNvPicPr>
                      <a:picLocks noChangeAspect="1"/>
                    </pic:cNvPicPr>
                  </pic:nvPicPr>
                  <pic:blipFill>
                    <a:blip r:embed="rId7"/>
                    <a:stretch>
                      <a:fillRect/>
                    </a:stretch>
                  </pic:blipFill>
                  <pic:spPr>
                    <a:xfrm>
                      <a:off x="0" y="0"/>
                      <a:ext cx="5254625" cy="2126615"/>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由于前期买入较少，后期价格较高时买入较多的股票，导致整体收益率欠佳</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2051050"/>
            <wp:effectExtent l="0" t="0" r="3810" b="6350"/>
            <wp:docPr id="5" name="图片 5" descr="01da94d1d09f7e4e0180824865270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1da94d1d09f7e4e0180824865270aa"/>
                    <pic:cNvPicPr>
                      <a:picLocks noChangeAspect="1"/>
                    </pic:cNvPicPr>
                  </pic:nvPicPr>
                  <pic:blipFill>
                    <a:blip r:embed="rId8"/>
                    <a:srcRect b="22356"/>
                    <a:stretch>
                      <a:fillRect/>
                    </a:stretch>
                  </pic:blipFill>
                  <pic:spPr>
                    <a:xfrm>
                      <a:off x="0" y="0"/>
                      <a:ext cx="5266690" cy="2051050"/>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2405" cy="124460"/>
            <wp:effectExtent l="0" t="0" r="10795" b="2540"/>
            <wp:docPr id="6" name="图片 6" descr="84070b19dd4c649a4c4203f2a81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4070b19dd4c649a4c4203f2a818752"/>
                    <pic:cNvPicPr>
                      <a:picLocks noChangeAspect="1"/>
                    </pic:cNvPicPr>
                  </pic:nvPicPr>
                  <pic:blipFill>
                    <a:blip r:embed="rId9"/>
                    <a:stretch>
                      <a:fillRect/>
                    </a:stretch>
                  </pic:blipFill>
                  <pic:spPr>
                    <a:xfrm>
                      <a:off x="0" y="0"/>
                      <a:ext cx="5272405" cy="124460"/>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230" cy="2266315"/>
            <wp:effectExtent l="0" t="0" r="1270" b="6985"/>
            <wp:docPr id="7" name="图片 7" descr="f736364f7951a45c4ac613852b5e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736364f7951a45c4ac613852b5ee6a"/>
                    <pic:cNvPicPr>
                      <a:picLocks noChangeAspect="1"/>
                    </pic:cNvPicPr>
                  </pic:nvPicPr>
                  <pic:blipFill>
                    <a:blip r:embed="rId10"/>
                    <a:stretch>
                      <a:fillRect/>
                    </a:stretch>
                  </pic:blipFill>
                  <pic:spPr>
                    <a:xfrm>
                      <a:off x="0" y="0"/>
                      <a:ext cx="5269230" cy="2266315"/>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57165" cy="273685"/>
            <wp:effectExtent l="0" t="0" r="635" b="5715"/>
            <wp:docPr id="12" name="图片 12" descr="173918003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39180032836"/>
                    <pic:cNvPicPr>
                      <a:picLocks noChangeAspect="1"/>
                    </pic:cNvPicPr>
                  </pic:nvPicPr>
                  <pic:blipFill>
                    <a:blip r:embed="rId11"/>
                    <a:stretch>
                      <a:fillRect/>
                    </a:stretch>
                  </pic:blipFill>
                  <pic:spPr>
                    <a:xfrm>
                      <a:off x="0" y="0"/>
                      <a:ext cx="5257165" cy="273685"/>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在后面价格较高时有较多的买量</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收益较差</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2245" cy="2141855"/>
            <wp:effectExtent l="0" t="0" r="8255" b="4445"/>
            <wp:docPr id="8" name="图片 8" descr="173917895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39178958778"/>
                    <pic:cNvPicPr>
                      <a:picLocks noChangeAspect="1"/>
                    </pic:cNvPicPr>
                  </pic:nvPicPr>
                  <pic:blipFill>
                    <a:blip r:embed="rId12"/>
                    <a:stretch>
                      <a:fillRect/>
                    </a:stretch>
                  </pic:blipFill>
                  <pic:spPr>
                    <a:xfrm>
                      <a:off x="0" y="0"/>
                      <a:ext cx="5262245" cy="2141855"/>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在较高点买入较多，后面价格波动不大</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2171065"/>
            <wp:effectExtent l="0" t="0" r="12065" b="635"/>
            <wp:docPr id="9" name="图片 9" descr="173917905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39179052787"/>
                    <pic:cNvPicPr>
                      <a:picLocks noChangeAspect="1"/>
                    </pic:cNvPicPr>
                  </pic:nvPicPr>
                  <pic:blipFill>
                    <a:blip r:embed="rId13"/>
                    <a:stretch>
                      <a:fillRect/>
                    </a:stretch>
                  </pic:blipFill>
                  <pic:spPr>
                    <a:xfrm>
                      <a:off x="0" y="0"/>
                      <a:ext cx="5271135" cy="2171065"/>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2207895"/>
            <wp:effectExtent l="0" t="0" r="10160" b="1905"/>
            <wp:docPr id="10" name="图片 10" descr="173917981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39179810477"/>
                    <pic:cNvPicPr>
                      <a:picLocks noChangeAspect="1"/>
                    </pic:cNvPicPr>
                  </pic:nvPicPr>
                  <pic:blipFill>
                    <a:blip r:embed="rId14"/>
                    <a:stretch>
                      <a:fillRect/>
                    </a:stretch>
                  </pic:blipFill>
                  <pic:spPr>
                    <a:xfrm>
                      <a:off x="0" y="0"/>
                      <a:ext cx="5273040" cy="2207895"/>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3515" cy="2207895"/>
            <wp:effectExtent l="0" t="0" r="6985" b="1905"/>
            <wp:docPr id="11" name="图片 11" descr="173917984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39179845319"/>
                    <pic:cNvPicPr>
                      <a:picLocks noChangeAspect="1"/>
                    </pic:cNvPicPr>
                  </pic:nvPicPr>
                  <pic:blipFill>
                    <a:blip r:embed="rId15"/>
                    <a:stretch>
                      <a:fillRect/>
                    </a:stretch>
                  </pic:blipFill>
                  <pic:spPr>
                    <a:xfrm>
                      <a:off x="0" y="0"/>
                      <a:ext cx="5263515" cy="2207895"/>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策略在波动上涨行情的时候买卖点比较准确，低买高卖</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2109470"/>
            <wp:effectExtent l="0" t="0" r="9525" b="11430"/>
            <wp:docPr id="13" name="图片 13" descr="企业微信截图_1739243011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企业微信截图_17392430119034"/>
                    <pic:cNvPicPr>
                      <a:picLocks noChangeAspect="1"/>
                    </pic:cNvPicPr>
                  </pic:nvPicPr>
                  <pic:blipFill>
                    <a:blip r:embed="rId16"/>
                    <a:stretch>
                      <a:fillRect/>
                    </a:stretch>
                  </pic:blipFill>
                  <pic:spPr>
                    <a:xfrm>
                      <a:off x="0" y="0"/>
                      <a:ext cx="5273675" cy="2109470"/>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逢高买入和逢低买入应该是不同的逻辑</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2063115"/>
            <wp:effectExtent l="0" t="0" r="9525" b="6985"/>
            <wp:docPr id="14" name="图片 14" descr="企业微信截图_1739244753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微信截图_17392447533685"/>
                    <pic:cNvPicPr>
                      <a:picLocks noChangeAspect="1"/>
                    </pic:cNvPicPr>
                  </pic:nvPicPr>
                  <pic:blipFill>
                    <a:blip r:embed="rId17"/>
                    <a:stretch>
                      <a:fillRect/>
                    </a:stretch>
                  </pic:blipFill>
                  <pic:spPr>
                    <a:xfrm>
                      <a:off x="0" y="0"/>
                      <a:ext cx="5273675" cy="2063115"/>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行情下跌突然上涨会有撤买量</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ascii="Segoe UI" w:hAnsi="Segoe UI" w:eastAsia="Segoe UI" w:cs="Segoe UI"/>
          <w:i w:val="0"/>
          <w:iCs w:val="0"/>
          <w:caps w:val="0"/>
          <w:color w:val="262626"/>
          <w:spacing w:val="0"/>
          <w:sz w:val="16"/>
          <w:szCs w:val="16"/>
          <w:shd w:val="clear" w:fill="EFF6FF"/>
        </w:rPr>
        <w:t>与昨天市值相差较大需要手动确认开启: {'proj': 'hxtjy5sz', 'mtg_capital': 74829189.95, 'pos_capital': 22758856.879999995</w:t>
      </w:r>
      <w:r>
        <w:rPr>
          <w:rFonts w:hint="eastAsia" w:ascii="宋体" w:hAnsi="宋体" w:eastAsia="宋体" w:cs="宋体"/>
          <w:sz w:val="24"/>
          <w:szCs w:val="24"/>
          <w:lang w:val="en-US" w:eastAsia="zh-CN"/>
        </w:rPr>
        <w:t xml:space="preserve">}  </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抵押资金？持仓市值？</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494030"/>
            <wp:effectExtent l="0" t="0" r="3810" b="1270"/>
            <wp:docPr id="15" name="图片 15" descr="6f12082e-5066-4eb2-ad4f-57f48689b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f12082e-5066-4eb2-ad4f-57f48689ba29"/>
                    <pic:cNvPicPr>
                      <a:picLocks noChangeAspect="1"/>
                    </pic:cNvPicPr>
                  </pic:nvPicPr>
                  <pic:blipFill>
                    <a:blip r:embed="rId18"/>
                    <a:stretch>
                      <a:fillRect/>
                    </a:stretch>
                  </pic:blipFill>
                  <pic:spPr>
                    <a:xfrm>
                      <a:off x="0" y="0"/>
                      <a:ext cx="5266690" cy="494030"/>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具体含义</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526415"/>
            <wp:effectExtent l="0" t="0" r="3810" b="6985"/>
            <wp:docPr id="16" name="图片 16" descr="d6cbbacb-e1be-407f-b9d8-c6a6bce959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6cbbacb-e1be-407f-b9d8-c6a6bce9597b"/>
                    <pic:cNvPicPr>
                      <a:picLocks noChangeAspect="1"/>
                    </pic:cNvPicPr>
                  </pic:nvPicPr>
                  <pic:blipFill>
                    <a:blip r:embed="rId19"/>
                    <a:stretch>
                      <a:fillRect/>
                    </a:stretch>
                  </pic:blipFill>
                  <pic:spPr>
                    <a:xfrm>
                      <a:off x="0" y="0"/>
                      <a:ext cx="5266690" cy="526415"/>
                    </a:xfrm>
                    <a:prstGeom prst="rect">
                      <a:avLst/>
                    </a:prstGeom>
                  </pic:spPr>
                </pic:pic>
              </a:graphicData>
            </a:graphic>
          </wp:inline>
        </w:drawing>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时间、产品名、个股加载完成进度？是否成功加载？T0还是TWAP</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今日：旅行者上海报单20分钟，榕树海上海深圳、旅行者深圳今日报单异常，上午十点多后未报单</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图灵朝旭9号东北连续两日收益为负，其中150/357收益为负</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计算机15/357</w:t>
      </w:r>
    </w:p>
    <w:p>
      <w:pPr>
        <w:widowControl w:val="0"/>
        <w:numPr>
          <w:ilvl w:val="0"/>
          <w:numId w:val="0"/>
        </w:numPr>
        <w:jc w:val="left"/>
        <w:rPr>
          <w:rFonts w:hint="default" w:ascii="宋体" w:hAnsi="宋体" w:eastAsia="宋体" w:cs="宋体"/>
          <w:sz w:val="24"/>
          <w:szCs w:val="24"/>
          <w:lang w:eastAsia="zh-CN"/>
        </w:rPr>
      </w:pPr>
      <w:r>
        <w:rPr>
          <w:rFonts w:hint="eastAsia" w:ascii="宋体" w:hAnsi="宋体" w:eastAsia="宋体" w:cs="宋体"/>
          <w:sz w:val="24"/>
          <w:szCs w:val="24"/>
          <w:lang w:val="en-US" w:eastAsia="zh-CN"/>
        </w:rPr>
        <w:t>旅行者中证1000东证-深圳2</w:t>
      </w:r>
      <w:r>
        <w:rPr>
          <w:rFonts w:hint="default" w:ascii="宋体" w:hAnsi="宋体" w:eastAsia="宋体" w:cs="宋体"/>
          <w:sz w:val="24"/>
          <w:szCs w:val="24"/>
          <w:lang w:eastAsia="zh-CN"/>
        </w:rPr>
        <w:t>9/214</w:t>
      </w:r>
    </w:p>
    <w:p>
      <w:pPr>
        <w:widowControl w:val="0"/>
        <w:numPr>
          <w:ilvl w:val="0"/>
          <w:numId w:val="0"/>
        </w:numPr>
        <w:jc w:val="left"/>
        <w:rPr>
          <w:rFonts w:hint="default" w:ascii="宋体" w:hAnsi="宋体" w:eastAsia="宋体" w:cs="宋体"/>
          <w:sz w:val="24"/>
          <w:szCs w:val="24"/>
          <w:lang w:eastAsia="zh-CN"/>
        </w:rPr>
      </w:pPr>
      <w:r>
        <w:rPr>
          <w:rFonts w:hint="default" w:ascii="宋体" w:hAnsi="宋体" w:eastAsia="宋体" w:cs="宋体"/>
          <w:sz w:val="24"/>
          <w:szCs w:val="24"/>
          <w:lang w:eastAsia="zh-CN"/>
        </w:rPr>
        <w:t>稳健2号国泰-深圳22/217</w:t>
      </w:r>
    </w:p>
    <w:p>
      <w:pPr>
        <w:widowControl w:val="0"/>
        <w:numPr>
          <w:ilvl w:val="0"/>
          <w:numId w:val="0"/>
        </w:numPr>
        <w:jc w:val="left"/>
        <w:rPr>
          <w:rFonts w:hint="default" w:ascii="宋体" w:hAnsi="宋体" w:eastAsia="宋体" w:cs="宋体"/>
          <w:sz w:val="24"/>
          <w:szCs w:val="24"/>
          <w:lang w:eastAsia="zh-CN"/>
        </w:rPr>
      </w:pPr>
      <w:r>
        <w:rPr>
          <w:rFonts w:hint="default" w:ascii="宋体" w:hAnsi="宋体" w:eastAsia="宋体" w:cs="宋体"/>
          <w:sz w:val="24"/>
          <w:szCs w:val="24"/>
          <w:lang w:eastAsia="zh-CN"/>
        </w:rPr>
        <w:drawing>
          <wp:inline distT="0" distB="0" distL="114300" distR="114300">
            <wp:extent cx="5253355" cy="760730"/>
            <wp:effectExtent l="0" t="0" r="4445" b="1270"/>
            <wp:docPr id="17" name="图片 17" descr="173934040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39340400844"/>
                    <pic:cNvPicPr>
                      <a:picLocks noChangeAspect="1"/>
                    </pic:cNvPicPr>
                  </pic:nvPicPr>
                  <pic:blipFill>
                    <a:blip r:embed="rId20"/>
                    <a:stretch>
                      <a:fillRect/>
                    </a:stretch>
                  </pic:blipFill>
                  <pic:spPr>
                    <a:xfrm>
                      <a:off x="0" y="0"/>
                      <a:ext cx="5253355" cy="760730"/>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eastAsia="zh-CN"/>
        </w:rPr>
      </w:pPr>
      <w:r>
        <w:rPr>
          <w:rFonts w:hint="default" w:ascii="宋体" w:hAnsi="宋体" w:eastAsia="宋体" w:cs="宋体"/>
          <w:sz w:val="24"/>
          <w:szCs w:val="24"/>
          <w:lang w:eastAsia="zh-CN"/>
        </w:rPr>
        <w:t>为什么同一只票在不同产品间交易程度不同</w:t>
      </w: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nav（Net Asset Value）：净资产值，这里表示单位净值=基金资产总值/基金总份额</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nav_chg：单位净值变化率</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T0rate：T0策略的收益率</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TrackingError：跟踪误差，表示产品收益与基准指数收益之间的差异？</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BasisSpread</w:t>
      </w:r>
      <w:r>
        <w:rPr>
          <w:rFonts w:hint="eastAsia" w:ascii="宋体" w:hAnsi="宋体" w:eastAsia="宋体" w:cs="宋体"/>
          <w:sz w:val="24"/>
          <w:szCs w:val="24"/>
          <w:lang w:val="en-US" w:eastAsia="zh-CN"/>
        </w:rPr>
        <w:t>：基差率</w:t>
      </w:r>
    </w:p>
    <w:p>
      <w:pPr>
        <w:widowControl w:val="0"/>
        <w:numPr>
          <w:ilvl w:val="0"/>
          <w:numId w:val="0"/>
        </w:num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stock_main_MV</w:t>
      </w:r>
      <w:r>
        <w:rPr>
          <w:rFonts w:hint="eastAsia" w:ascii="宋体" w:hAnsi="宋体" w:eastAsia="宋体" w:cs="宋体"/>
          <w:sz w:val="24"/>
          <w:szCs w:val="24"/>
          <w:lang w:val="en-US" w:eastAsia="zh-CN"/>
        </w:rPr>
        <w:t>：主要持仓股票的市值</w:t>
      </w:r>
    </w:p>
    <w:p>
      <w:pPr>
        <w:widowControl w:val="0"/>
        <w:numPr>
          <w:ilvl w:val="0"/>
          <w:numId w:val="0"/>
        </w:numPr>
        <w:ind w:left="2400" w:hanging="2400" w:hangingChars="10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Stock_secondary_MV：次要持仓股票的市值？</w:t>
      </w:r>
      <w:r>
        <w:rPr>
          <w:rFonts w:ascii="宋体" w:hAnsi="宋体" w:eastAsia="宋体" w:cs="宋体"/>
          <w:sz w:val="24"/>
          <w:szCs w:val="24"/>
        </w:rPr>
        <w:t>一些产品可能会分两个证券账户进行交易，不同的证券账户单独计算股票市值</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stock_marketVal：股票总市值（主次持仓之和）</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stock_ratio：股票市值/规模</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hedge_needed_ratio：所需对冲比例=stock_ratio？</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CTP_marketVal：期货市值，多头为正空头为负</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CTP_threshold</w:t>
      </w:r>
      <w:r>
        <w:rPr>
          <w:rFonts w:hint="eastAsia" w:ascii="宋体" w:hAnsi="宋体" w:eastAsia="宋体" w:cs="宋体"/>
          <w:sz w:val="24"/>
          <w:szCs w:val="24"/>
          <w:lang w:val="en-US" w:eastAsia="zh-CN"/>
        </w:rPr>
        <w:t>：一手期货的价格</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CTP_ratio：</w:t>
      </w:r>
      <w:r>
        <w:rPr>
          <w:rFonts w:hint="eastAsia" w:ascii="宋体" w:hAnsi="宋体" w:eastAsia="宋体" w:cs="宋体"/>
          <w:sz w:val="24"/>
          <w:szCs w:val="24"/>
          <w:lang w:val="en-US" w:eastAsia="zh-CN"/>
        </w:rPr>
        <w:t>期货</w:t>
      </w:r>
      <w:r>
        <w:rPr>
          <w:rFonts w:hint="default" w:ascii="宋体" w:hAnsi="宋体" w:eastAsia="宋体" w:cs="宋体"/>
          <w:sz w:val="24"/>
          <w:szCs w:val="24"/>
          <w:lang w:val="en-US" w:eastAsia="zh-CN"/>
        </w:rPr>
        <w:t>市值</w:t>
      </w:r>
      <w:r>
        <w:rPr>
          <w:rFonts w:hint="eastAsia" w:ascii="宋体" w:hAnsi="宋体" w:eastAsia="宋体" w:cs="宋体"/>
          <w:sz w:val="24"/>
          <w:szCs w:val="24"/>
          <w:lang w:val="en-US" w:eastAsia="zh-CN"/>
        </w:rPr>
        <w:t>/规模</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exposure：风险敞口=（stock_marketVal+CTP_marketVal）/total_size</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ind w:left="1920" w:hanging="1920" w:hangingChars="8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exposure_diff：风险敞口差异，当前值与目标的偏离</w:t>
      </w:r>
    </w:p>
    <w:p>
      <w:pPr>
        <w:widowControl w:val="0"/>
        <w:numPr>
          <w:ilvl w:val="0"/>
          <w:numId w:val="0"/>
        </w:numPr>
        <w:ind w:left="2160" w:hanging="2160" w:hangingChars="9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对冲=0-exposure</w:t>
      </w:r>
    </w:p>
    <w:p>
      <w:pPr>
        <w:widowControl w:val="0"/>
        <w:numPr>
          <w:ilvl w:val="0"/>
          <w:numId w:val="0"/>
        </w:numPr>
        <w:ind w:left="2160" w:hanging="2160" w:hangingChars="9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指增=1-exposure</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position_overthres：实际股票占比stock_ratio-最低股票占比（0.73）</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adjustVol_needed：需要调整的合约数量=（exposure_diff*total_size</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CTP_threshold</w:t>
      </w:r>
      <w:r>
        <w:rPr>
          <w:rFonts w:hint="eastAsia" w:ascii="宋体" w:hAnsi="宋体" w:eastAsia="宋体" w:cs="宋体"/>
          <w:sz w:val="24"/>
          <w:szCs w:val="24"/>
          <w:lang w:val="en-US" w:eastAsia="zh-CN"/>
        </w:rPr>
        <w:t xml:space="preserve">，只针对指增产品 </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净值敞口=（股票市值+期货市值）/规模</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市值敞口=（股票市值+期货市值）/股票市值</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NetPnl = 策略NetPnl+股票市值变化+期货市值变化</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高价股：市值&gt;500亿，占比25%，总市值占比65%</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中价股：市值100-500亿，占比35%，总市值占比25%</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低价股：市值&lt;100亿，占比40%，总市值占比10%</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跟踪误差（Tracking Error）是衡量投资组合（如基金）与其跟踪的基准指数（如沪深300指数）之间收益偏离程度的指标，反映了组合相对于基准的波动差异。其核心计算方法是基于两者收益率差值的标准差。</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净值敞口=（股票市值+期货市值）/规模</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市值敞口=（股票市值+期货市值）/股票市值</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股票市值收益率：股票收益/股票市值=(SHPnl+SZPnl)/股票市值</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产品市值收益率：NetPnl/规模</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策略NetPnl：（SH+SZ）Pnl</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NetPnl = 策略NetPnl+股票市值变化+期货市值变化</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ascii="宋体" w:hAnsi="宋体" w:eastAsia="宋体" w:cs="宋体"/>
          <w:sz w:val="24"/>
          <w:szCs w:val="24"/>
        </w:rPr>
        <w:t>trackingerror = 股票T日涨幅 - 指数T日的涨幅</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ascii="宋体" w:hAnsi="宋体" w:eastAsia="宋体" w:cs="宋体"/>
          <w:sz w:val="24"/>
          <w:szCs w:val="24"/>
        </w:rPr>
      </w:pPr>
      <w:r>
        <w:rPr>
          <w:rFonts w:hint="eastAsia" w:ascii="宋体" w:hAnsi="宋体" w:eastAsia="宋体" w:cs="宋体"/>
          <w:sz w:val="24"/>
          <w:szCs w:val="24"/>
          <w:lang w:val="en-US" w:eastAsia="zh-CN"/>
        </w:rPr>
        <w:t>T</w:t>
      </w:r>
      <w:r>
        <w:rPr>
          <w:rFonts w:ascii="宋体" w:hAnsi="宋体" w:eastAsia="宋体" w:cs="宋体"/>
          <w:sz w:val="24"/>
          <w:szCs w:val="24"/>
        </w:rPr>
        <w:t>rackingerror</w:t>
      </w:r>
      <w:r>
        <w:rPr>
          <w:rFonts w:hint="eastAsia" w:ascii="宋体" w:hAnsi="宋体" w:eastAsia="宋体" w:cs="宋体"/>
          <w:sz w:val="24"/>
          <w:szCs w:val="24"/>
          <w:lang w:val="en-US" w:eastAsia="zh-CN"/>
        </w:rPr>
        <w:t xml:space="preserve"> = 股票市值变化/股票昨收 - </w:t>
      </w:r>
      <w:r>
        <w:rPr>
          <w:rFonts w:ascii="宋体" w:hAnsi="宋体" w:eastAsia="宋体" w:cs="宋体"/>
          <w:sz w:val="24"/>
          <w:szCs w:val="24"/>
        </w:rPr>
        <w:t>指数T日的涨幅</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5565775"/>
            <wp:effectExtent l="0" t="0" r="11430" b="9525"/>
            <wp:docPr id="18" name="图片 18" descr="企业微信截图_173994454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企业微信截图_17399445464050"/>
                    <pic:cNvPicPr>
                      <a:picLocks noChangeAspect="1"/>
                    </pic:cNvPicPr>
                  </pic:nvPicPr>
                  <pic:blipFill>
                    <a:blip r:embed="rId21"/>
                    <a:stretch>
                      <a:fillRect/>
                    </a:stretch>
                  </pic:blipFill>
                  <pic:spPr>
                    <a:xfrm>
                      <a:off x="0" y="0"/>
                      <a:ext cx="5271770" cy="5565775"/>
                    </a:xfrm>
                    <a:prstGeom prst="rect">
                      <a:avLst/>
                    </a:prstGeom>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报单收益：实际交易价格与成本之间的差额，反映了 TWAP 策略的实际收益。</w:t>
      </w:r>
    </w:p>
    <w:p>
      <w:pPr>
        <w:widowControl w:val="0"/>
        <w:numPr>
          <w:ilvl w:val="0"/>
          <w:numId w:val="0"/>
        </w:numPr>
        <w:ind w:left="1200" w:hanging="1200" w:hangingChars="5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对标收益：</w:t>
      </w:r>
    </w:p>
    <w:p>
      <w:pPr>
        <w:widowControl w:val="0"/>
        <w:numPr>
          <w:ilvl w:val="0"/>
          <w:numId w:val="0"/>
        </w:numPr>
        <w:ind w:left="1200" w:hanging="1200" w:hangingChars="500"/>
        <w:jc w:val="left"/>
        <w:rPr>
          <w:rFonts w:ascii="宋体" w:hAnsi="宋体" w:eastAsia="宋体" w:cs="宋体"/>
          <w:sz w:val="24"/>
          <w:szCs w:val="24"/>
        </w:rPr>
      </w:pPr>
      <w:r>
        <w:rPr>
          <w:rFonts w:ascii="宋体" w:hAnsi="宋体" w:eastAsia="宋体" w:cs="宋体"/>
          <w:sz w:val="24"/>
          <w:szCs w:val="24"/>
        </w:rPr>
        <w:t>报单收益是以0为基准，对标收益是负万五的基准</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报单收益+成交额*0.0005=对标收益</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托管的概念</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金托管是指商业银行接受基金管理人的委托，代表基金持有人的利益，保管基金资产，监督基金管理人日常投资运作，基金托管人独立开设基金资产账户，依据管理人的指令进行清算和交割，保管基金资产，在有关制度和基金契约规定的范围内对基金业务运作进行监督，并收取一定的托管费。</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托管：</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由具备托管资质的第三方机构（如银行、券商）对私募基金资产进行独立保管，包括负责交易结算、资金划拨、定期核算基金净值，并履行监督职责，确保资金安全、合规运作。</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契约型私募基金必须托管，合伙型/公司型基金可通过约定选择托管。</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常见托管方：商业银行，券商。</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极速柜台和普通柜台的区别</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极速柜台：适合高频交易和量化交易，提供微秒级的交易速度，</w:t>
      </w:r>
      <w:r>
        <w:rPr>
          <w:rFonts w:hint="eastAsia" w:ascii="宋体" w:hAnsi="宋体" w:eastAsia="宋体" w:cs="宋体"/>
          <w:sz w:val="24"/>
          <w:szCs w:val="24"/>
          <w:lang w:val="en-US" w:eastAsia="zh-CN"/>
        </w:rPr>
        <w:t>一般需要</w:t>
      </w:r>
      <w:r>
        <w:rPr>
          <w:rFonts w:hint="default" w:ascii="宋体" w:hAnsi="宋体" w:eastAsia="宋体" w:cs="宋体"/>
          <w:sz w:val="24"/>
          <w:szCs w:val="24"/>
          <w:lang w:val="en-US" w:eastAsia="zh-CN"/>
        </w:rPr>
        <w:t>资金门槛（如300万元人民币），费用较高</w:t>
      </w:r>
      <w:r>
        <w:rPr>
          <w:rFonts w:hint="eastAsia" w:ascii="宋体" w:hAnsi="宋体" w:eastAsia="宋体" w:cs="宋体"/>
          <w:sz w:val="24"/>
          <w:szCs w:val="24"/>
          <w:lang w:val="en-US" w:eastAsia="zh-CN"/>
        </w:rPr>
        <w:t>（万分之三？）</w:t>
      </w:r>
      <w:r>
        <w:rPr>
          <w:rFonts w:hint="default" w:ascii="宋体" w:hAnsi="宋体" w:eastAsia="宋体" w:cs="宋体"/>
          <w:sz w:val="24"/>
          <w:szCs w:val="24"/>
          <w:lang w:val="en-US" w:eastAsia="zh-CN"/>
        </w:rPr>
        <w:t>。专注于标准化交易（股票、ETF、期货等）</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普通柜台：适合普通投资者，交易速度适中</w:t>
      </w:r>
      <w:r>
        <w:rPr>
          <w:rFonts w:hint="eastAsia" w:ascii="宋体" w:hAnsi="宋体" w:eastAsia="宋体" w:cs="宋体"/>
          <w:sz w:val="24"/>
          <w:szCs w:val="24"/>
          <w:lang w:val="en-US" w:eastAsia="zh-CN"/>
        </w:rPr>
        <w:t>，毫秒级</w:t>
      </w:r>
      <w:r>
        <w:rPr>
          <w:rFonts w:hint="default" w:ascii="宋体" w:hAnsi="宋体" w:eastAsia="宋体" w:cs="宋体"/>
          <w:sz w:val="24"/>
          <w:szCs w:val="24"/>
          <w:lang w:val="en-US" w:eastAsia="zh-CN"/>
        </w:rPr>
        <w:t>，费用较低。支持复杂业务（融资融券、期权、场外衍生品等）</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选择极速柜台的原因：降低延迟、降低滑点、抢占流动性</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计算绩效</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df = pd.read_csv('trade.csv')</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df['trading_time'] = pd.to_datetime(df['trading_time'])</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获取三秒切片价格，已给出</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def get_stock_price(stock, begintime, endtime):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time_range = pd.date_range(start=begintime, end=endtime, freq='3S')</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prices = price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return pd.DataFrame({'time': time_range, 'price': prices})</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stock = 'A'</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begintime = '2024-10-10 13:00:00'</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endtime = '2024-10-10 13:30:00'</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price_df = get_stock_price(stock, begintime, endtime)</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计算 TWAP 价格</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price_df['weight'] = 1 / len(price_df)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twap_price = (price_df['price'] * price_df['weight']).sum()</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计算实际交易价格</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df['trade_time'] = pd.to_datetime(df['trading_time'])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df = df[(df['trade_time'] &gt;= begintime) &amp; (df['trade_time'] &lt;= endtime)]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actual_price = (df['price'] * df['trade_vol']).sum() / df['trade_vol'].sum()</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绩效</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performance = actual_price - twap_price</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打印结果</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print(f"TWAP 价格: {twap_price:.2f}")</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print(f"实际交易价格: {actual_price:.2f}")</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print(f"绩效: {performance:.2f}")</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eastAsia="zh-CN"/>
        </w:rPr>
      </w:pPr>
      <w:r>
        <w:rPr>
          <w:rFonts w:hint="eastAsia" w:ascii="宋体" w:hAnsi="宋体" w:eastAsia="宋体" w:cs="宋体"/>
          <w:sz w:val="24"/>
          <w:szCs w:val="24"/>
          <w:lang w:val="en-US" w:eastAsia="zh-CN"/>
        </w:rPr>
        <w:t xml:space="preserve">报单收益 = 绩效 * </w:t>
      </w:r>
      <w:r>
        <w:rPr>
          <w:rFonts w:hint="default" w:ascii="宋体" w:hAnsi="宋体" w:eastAsia="宋体" w:cs="宋体"/>
          <w:sz w:val="24"/>
          <w:szCs w:val="24"/>
          <w:lang w:eastAsia="zh-CN"/>
        </w:rPr>
        <w:t>交易量？</w:t>
      </w: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default" w:ascii="宋体" w:hAnsi="宋体" w:eastAsia="宋体" w:cs="宋体"/>
          <w:sz w:val="24"/>
          <w:szCs w:val="24"/>
          <w:lang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调仓界面的旅行者中证总市值很少</w:t>
      </w: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9：30调仓界面旅行者1000和图灵开始，坤望没有开始</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图朝旭东北深圳收益率一般、克洛格</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0000059</w:t>
      </w:r>
    </w:p>
    <w:p>
      <w:pPr>
        <w:widowControl w:val="0"/>
        <w:numPr>
          <w:ilvl w:val="0"/>
          <w:numId w:val="0"/>
        </w:numPr>
        <w:jc w:val="left"/>
        <w:rPr>
          <w:rFonts w:hint="default" w:ascii="宋体" w:hAnsi="宋体" w:eastAsia="宋体" w:cs="宋体"/>
          <w:sz w:val="24"/>
          <w:szCs w:val="24"/>
          <w:lang w:val="en-US" w:eastAsia="zh-CN"/>
        </w:rPr>
      </w:pPr>
    </w:p>
    <w:p>
      <w:pPr>
        <w:bidi w:val="0"/>
        <w:rPr>
          <w:rFonts w:hint="eastAsia"/>
          <w:lang w:val="en-US" w:eastAsia="zh-CN"/>
        </w:rPr>
      </w:pPr>
      <w:r>
        <w:rPr>
          <w:rFonts w:hint="eastAsia"/>
          <w:lang w:val="en-US" w:eastAsia="zh-CN"/>
        </w:rPr>
        <w:t>旅行者中证1000上海，停牌</w:t>
      </w:r>
    </w:p>
    <w:p>
      <w:pPr>
        <w:bidi w:val="0"/>
        <w:rPr>
          <w:rFonts w:hint="eastAsia"/>
          <w:lang w:val="en-US" w:eastAsia="zh-CN"/>
        </w:rPr>
      </w:pPr>
      <w:r>
        <w:rPr>
          <w:rFonts w:hint="eastAsia"/>
          <w:lang w:val="en-US" w:eastAsia="zh-CN"/>
        </w:rPr>
        <w:t>克洛格</w:t>
      </w:r>
    </w:p>
    <w:p>
      <w:pPr>
        <w:bidi w:val="0"/>
        <w:rPr>
          <w:rFonts w:hint="eastAsia"/>
          <w:lang w:val="en-US" w:eastAsia="zh-CN"/>
        </w:rPr>
      </w:pPr>
      <w:r>
        <w:rPr>
          <w:rFonts w:hint="eastAsia"/>
          <w:lang w:val="en-US" w:eastAsia="zh-CN"/>
        </w:rPr>
        <w:t>坤望5号国泰深圳、图灵深圳，收益为负</w:t>
      </w:r>
    </w:p>
    <w:p>
      <w:pPr>
        <w:bidi w:val="0"/>
        <w:rPr>
          <w:rFonts w:hint="eastAsia"/>
          <w:lang w:val="en-US" w:eastAsia="zh-CN"/>
        </w:rPr>
      </w:pPr>
    </w:p>
    <w:p>
      <w:pPr>
        <w:bidi w:val="0"/>
        <w:rPr>
          <w:rFonts w:hint="eastAsia"/>
          <w:lang w:val="en-US" w:eastAsia="zh-CN"/>
        </w:rPr>
      </w:pPr>
      <w:r>
        <w:rPr>
          <w:rFonts w:hint="eastAsia"/>
          <w:lang w:val="en-US" w:eastAsia="zh-CN"/>
        </w:rPr>
        <w:t>停牌、跌停的卖不出去</w:t>
      </w:r>
    </w:p>
    <w:p>
      <w:pPr>
        <w:bidi w:val="0"/>
        <w:rPr>
          <w:rFonts w:hint="eastAsia"/>
          <w:lang w:val="en-US" w:eastAsia="zh-CN"/>
        </w:rPr>
      </w:pPr>
    </w:p>
    <w:p>
      <w:pPr>
        <w:bidi w:val="0"/>
        <w:rPr>
          <w:rFonts w:hint="eastAsia"/>
          <w:lang w:val="en-US" w:eastAsia="zh-CN"/>
        </w:rPr>
      </w:pPr>
      <w:r>
        <w:rPr>
          <w:rFonts w:hint="eastAsia"/>
          <w:lang w:val="en-US" w:eastAsia="zh-CN"/>
        </w:rPr>
        <w:t>为什么图灵和机遇5号期货端完全为0</w:t>
      </w:r>
    </w:p>
    <w:p>
      <w:pPr>
        <w:bidi w:val="0"/>
        <w:rPr>
          <w:rFonts w:hint="eastAsia"/>
          <w:lang w:val="en-US" w:eastAsia="zh-CN"/>
        </w:rPr>
      </w:pPr>
    </w:p>
    <w:p>
      <w:pPr>
        <w:bidi w:val="0"/>
        <w:rPr>
          <w:rFonts w:hint="default"/>
          <w:lang w:val="en-US" w:eastAsia="zh-CN"/>
        </w:rPr>
      </w:pPr>
      <w:r>
        <w:rPr>
          <w:rFonts w:hint="eastAsia"/>
          <w:lang w:val="en-US" w:eastAsia="zh-CN"/>
        </w:rPr>
        <w:t>图灵深圳换手比较差</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坤望招商正的比负的多很多</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为什么上海的调仓收益都为负</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旅行者东证的换手可以到60多，其他在三四十，差的十</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上海晚三法工作日</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图灵东北甚至，还是负收益</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可用有变化</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中证000早上十点半结束交易，下午一点多的时候又有交易，挂单成交</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期货市值不为0</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利润 = NetPnl * 20%</w:t>
      </w:r>
    </w:p>
    <w:p>
      <w:pPr>
        <w:widowControl w:val="0"/>
        <w:numPr>
          <w:ilvl w:val="0"/>
          <w:numId w:val="0"/>
        </w:numPr>
        <w:ind w:left="120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期货市值为0，客户端自己管理期货</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利润 = NetPnl </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15:01报单4分，14：57之后没有报单</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早上母单  client may not excute</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ST股票需要立即卖出，是今天才ST的吗</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保证金和期货可用的比例：主要在一比一到五比一之间，金选沪深99：176</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刚开始交易十分钟，上海的胜率较低</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坤望五号国泰深圳 收益率较低  还有榕树海上海 刚开盘没多久</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总体收益  图灵深圳，克洛格上海、坤望国泰上海比较差，跟产品内单价相关性不大，根据单价排列，负值收益率均匀排列</w:t>
      </w:r>
    </w:p>
    <w:p>
      <w:pPr>
        <w:widowControl w:val="0"/>
        <w:numPr>
          <w:ilvl w:val="0"/>
          <w:numId w:val="0"/>
        </w:numPr>
        <w:jc w:val="left"/>
        <w:rPr>
          <w:rFonts w:hint="eastAsia" w:ascii="宋体" w:hAnsi="宋体" w:eastAsia="宋体" w:cs="宋体"/>
          <w:sz w:val="24"/>
          <w:szCs w:val="24"/>
          <w:lang w:val="en-US" w:eastAsia="zh-CN"/>
        </w:rPr>
      </w:pPr>
    </w:p>
    <w:p>
      <w:pPr>
        <w:widowControl w:val="0"/>
        <w:numPr>
          <w:ilvl w:val="0"/>
          <w:numId w:val="0"/>
        </w:numPr>
        <w:jc w:val="left"/>
        <w:rPr>
          <w:rFonts w:hint="eastAsia" w:ascii="宋体" w:hAnsi="宋体" w:eastAsia="宋体" w:cs="宋体"/>
          <w:color w:val="F2F2F2" w:themeColor="background1" w:themeShade="F2"/>
          <w:sz w:val="24"/>
          <w:szCs w:val="24"/>
          <w:lang w:val="en-US" w:eastAsia="zh-CN"/>
        </w:rPr>
      </w:pPr>
      <w:r>
        <w:rPr>
          <w:rFonts w:hint="eastAsia" w:ascii="宋体" w:hAnsi="宋体" w:eastAsia="宋体" w:cs="宋体"/>
          <w:color w:val="F2F2F2" w:themeColor="background1" w:themeShade="F2"/>
          <w:sz w:val="24"/>
          <w:szCs w:val="24"/>
          <w:lang w:val="en-US" w:eastAsia="zh-CN"/>
        </w:rPr>
        <w:t>Fee较高，有时候Fee大于Pnl的三分之一，能不能减少次数，增加每次次数的买卖量</w:t>
      </w:r>
    </w:p>
    <w:p>
      <w:pPr>
        <w:widowControl w:val="0"/>
        <w:numPr>
          <w:ilvl w:val="0"/>
          <w:numId w:val="0"/>
        </w:numPr>
        <w:jc w:val="left"/>
        <w:rPr>
          <w:rFonts w:hint="default" w:ascii="宋体" w:hAnsi="宋体" w:eastAsia="宋体" w:cs="宋体"/>
          <w:color w:val="F2F2F2" w:themeColor="background1" w:themeShade="F2"/>
          <w:sz w:val="24"/>
          <w:szCs w:val="24"/>
          <w:lang w:val="en-US" w:eastAsia="zh-CN"/>
        </w:rPr>
      </w:pPr>
      <w:r>
        <w:rPr>
          <w:rFonts w:hint="eastAsia" w:ascii="宋体" w:hAnsi="宋体" w:eastAsia="宋体" w:cs="宋体"/>
          <w:color w:val="F2F2F2" w:themeColor="background1" w:themeShade="F2"/>
          <w:sz w:val="24"/>
          <w:szCs w:val="24"/>
          <w:lang w:val="en-US" w:eastAsia="zh-CN"/>
        </w:rPr>
        <w:t>好像到最后都会涨起来。接近收盘的时候，等真收盘的时候收涨</w:t>
      </w:r>
    </w:p>
    <w:p>
      <w:pPr>
        <w:widowControl w:val="0"/>
        <w:numPr>
          <w:ilvl w:val="0"/>
          <w:numId w:val="0"/>
        </w:numPr>
        <w:jc w:val="left"/>
        <w:rPr>
          <w:rFonts w:hint="default" w:ascii="宋体" w:hAnsi="宋体" w:eastAsia="宋体" w:cs="宋体"/>
          <w:color w:val="F2F2F2" w:themeColor="background1" w:themeShade="F2"/>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报单没有继续，但是进度条还在继续变多，报单收益也有变化。</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报单收益=（实际成交价格-TWAP基准）* 成交量，所以是因为前面有一些挂单当时没有成交，现在成交了导致的实际成交价格的变化，导致报单收益的变化</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整体来看，同一产品，上海的胜率略低于深圳</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Fee相对于Pnl较高，今天约占0.41左右</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当策略收益变化不大的时候，股票上涨下跌变化较大，造成NetPnl变化较大，对指增的影响较大</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与昨天市值较大，需要手动开启的原因</w:t>
      </w: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看涨期权价格  C=SN(d1)-Xe^(rT)N(d2)</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看跌期权价格  P=Xe^(rT)N(-d2)-SN(-d1)</w:t>
      </w:r>
    </w:p>
    <w:p>
      <w:pPr>
        <w:widowControl w:val="0"/>
        <w:numPr>
          <w:ilvl w:val="0"/>
          <w:numId w:val="0"/>
        </w:numPr>
        <w:ind w:left="12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S是标的资产的当前价格，X是期权的执行价格，r是无风险利率，T是期权到期时间，N(d)是标准正态分布的累计分布函数</w:t>
      </w:r>
    </w:p>
    <w:p>
      <w:pPr>
        <w:widowControl w:val="0"/>
        <w:numPr>
          <w:ilvl w:val="0"/>
          <w:numId w:val="0"/>
        </w:numPr>
        <w:ind w:left="1200" w:hanging="1200" w:hangingChars="500"/>
        <w:jc w:val="left"/>
        <w:rPr>
          <w:rFonts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0" w:firstLine="0" w:firstLineChars="0"/>
        <w:jc w:val="left"/>
        <w:textAlignment w:val="auto"/>
        <w:rPr>
          <w:rFonts w:ascii="宋体" w:hAnsi="宋体" w:eastAsia="宋体" w:cs="宋体"/>
          <w:sz w:val="24"/>
          <w:szCs w:val="24"/>
        </w:rPr>
      </w:pPr>
      <w:r>
        <w:rPr>
          <w:rFonts w:hint="eastAsia" w:ascii="宋体" w:hAnsi="宋体" w:eastAsia="宋体" w:cs="宋体"/>
          <w:sz w:val="24"/>
          <w:szCs w:val="24"/>
        </w:rPr>
        <w:t>欧式期权的定价主要依赖于布莱克-斯科尔斯模型（Black-Scholes Model）</w:t>
      </w:r>
      <w:bookmarkStart w:id="0" w:name="_GoBack"/>
      <w:r>
        <w:rPr>
          <w:rFonts w:ascii="宋体" w:hAnsi="宋体" w:eastAsia="宋体" w:cs="宋体"/>
          <w:sz w:val="24"/>
          <w:szCs w:val="24"/>
        </w:rPr>
        <w:drawing>
          <wp:inline distT="0" distB="0" distL="114300" distR="114300">
            <wp:extent cx="5895340" cy="2655570"/>
            <wp:effectExtent l="0" t="0" r="10160" b="1143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2"/>
                    <a:stretch>
                      <a:fillRect/>
                    </a:stretch>
                  </pic:blipFill>
                  <pic:spPr>
                    <a:xfrm>
                      <a:off x="0" y="0"/>
                      <a:ext cx="5895340" cy="2655570"/>
                    </a:xfrm>
                    <a:prstGeom prst="rect">
                      <a:avLst/>
                    </a:prstGeom>
                    <a:noFill/>
                    <a:ln w="9525">
                      <a:noFill/>
                    </a:ln>
                  </pic:spPr>
                </pic:pic>
              </a:graphicData>
            </a:graphic>
          </wp:inline>
        </w:drawing>
      </w:r>
      <w:bookmarkEnd w:id="0"/>
    </w:p>
    <w:p>
      <w:pPr>
        <w:keepNext w:val="0"/>
        <w:keepLines w:val="0"/>
        <w:pageBreakBefore w:val="0"/>
        <w:widowControl w:val="0"/>
        <w:numPr>
          <w:ilvl w:val="0"/>
          <w:numId w:val="0"/>
        </w:numPr>
        <w:kinsoku/>
        <w:wordWrap/>
        <w:overflowPunct/>
        <w:topLinePunct w:val="0"/>
        <w:autoSpaceDE/>
        <w:autoSpaceDN/>
        <w:bidi w:val="0"/>
        <w:adjustRightInd/>
        <w:snapToGrid/>
        <w:ind w:left="0" w:firstLine="0" w:firstLineChars="0"/>
        <w:jc w:val="left"/>
        <w:textAlignment w:val="auto"/>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DC84B"/>
    <w:multiLevelType w:val="singleLevel"/>
    <w:tmpl w:val="038DC84B"/>
    <w:lvl w:ilvl="0" w:tentative="0">
      <w:start w:val="1"/>
      <w:numFmt w:val="chineseCounting"/>
      <w:suff w:val="nothing"/>
      <w:lvlText w:val="（%1）"/>
      <w:lvlJc w:val="left"/>
      <w:rPr>
        <w:rFonts w:hint="eastAsia"/>
      </w:rPr>
    </w:lvl>
  </w:abstractNum>
  <w:abstractNum w:abstractNumId="1">
    <w:nsid w:val="776C2AE5"/>
    <w:multiLevelType w:val="singleLevel"/>
    <w:tmpl w:val="776C2AE5"/>
    <w:lvl w:ilvl="0" w:tentative="0">
      <w:start w:val="1"/>
      <w:numFmt w:val="chineseCounting"/>
      <w:suff w:val="nothing"/>
      <w:lvlText w:val="%1、"/>
      <w:lvlJc w:val="left"/>
      <w:rPr>
        <w:rFonts w:hint="eastAsia"/>
      </w:rPr>
    </w:lvl>
  </w:abstractNum>
  <w:abstractNum w:abstractNumId="2">
    <w:nsid w:val="780B4A00"/>
    <w:multiLevelType w:val="singleLevel"/>
    <w:tmpl w:val="780B4A00"/>
    <w:lvl w:ilvl="0" w:tentative="0">
      <w:start w:val="2"/>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hN2MwNTZiYmJiMDhjNjU3ZTcwNjk1YzkzMmM1YTMifQ=="/>
    <w:docVar w:name="KSO_WPS_MARK_KEY" w:val="ca69e541-5414-44da-a36a-4a847ebd1ee1"/>
  </w:docVars>
  <w:rsids>
    <w:rsidRoot w:val="00000000"/>
    <w:rsid w:val="23C66FCF"/>
    <w:rsid w:val="2E85199E"/>
    <w:rsid w:val="6DBA5F44"/>
    <w:rsid w:val="702F14AE"/>
    <w:rsid w:val="7B4D2A19"/>
    <w:rsid w:val="7C0E1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6236</Words>
  <Characters>8193</Characters>
  <Lines>0</Lines>
  <Paragraphs>0</Paragraphs>
  <TotalTime>1552</TotalTime>
  <ScaleCrop>false</ScaleCrop>
  <LinksUpToDate>false</LinksUpToDate>
  <CharactersWithSpaces>8586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2024-12-27T02:46:00Z</dcterms:created>
  <dc:creator>16532</dc:creator>
  <cp:lastModifiedBy>叶珏玲</cp:lastModifiedBy>
  <dcterms:modified xsi:type="dcterms:W3CDTF">2025-03-18T03:22:32Z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ECAF7F2780EC453094C0CC0501DDFF92</vt:lpwstr>
  </property>
</Properties>
</file>