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993E59">
      <w:pPr>
        <w:pStyle w:val="5"/>
        <w:spacing w:before="0" w:after="0" w:line="390" w:lineRule="atLeast"/>
        <w:ind w:left="0" w:right="0"/>
        <w:jc w:val="center"/>
        <w:rPr>
          <w:rFonts w:ascii="宋体" w:hAnsi="宋体" w:eastAsia="宋体" w:cs="宋体"/>
          <w:vanish/>
          <w:sz w:val="21"/>
          <w:szCs w:val="21"/>
          <w:lang w:val="zh-CN" w:eastAsia="zh-CN"/>
        </w:rPr>
      </w:pPr>
      <w:bookmarkStart w:id="0" w:name="_GoBack"/>
      <w:bookmarkEnd w:id="0"/>
      <w:r>
        <w:rPr>
          <w:rFonts w:ascii="宋体" w:hAnsi="宋体" w:eastAsia="宋体" w:cs="宋体"/>
          <w:vanish/>
          <w:sz w:val="21"/>
          <w:szCs w:val="21"/>
          <w:lang w:val="zh-CN" w:eastAsia="zh-CN"/>
        </w:rPr>
        <w:t>S航运有限公司申请承认外国法院民事判决案——最高人民法院发布第四十一批指导性案例之六【指导性案例235号】</w:t>
      </w:r>
    </w:p>
    <w:p w14:paraId="6B09C585">
      <w:pPr>
        <w:pStyle w:val="6"/>
        <w:pBdr>
          <w:top w:val="none" w:color="auto" w:sz="0" w:space="0"/>
          <w:left w:val="none" w:color="auto" w:sz="0" w:space="0"/>
          <w:bottom w:val="none" w:color="auto" w:sz="0" w:space="0"/>
          <w:right w:val="none" w:color="auto" w:sz="0" w:space="0"/>
        </w:pBdr>
        <w:spacing w:before="0" w:after="0" w:line="390" w:lineRule="atLeast"/>
        <w:ind w:left="0" w:right="0"/>
        <w:outlineLvl w:val="0"/>
        <w:rPr>
          <w:rFonts w:ascii="宋体" w:hAnsi="宋体" w:eastAsia="宋体" w:cs="宋体"/>
          <w:b/>
          <w:bCs/>
          <w:sz w:val="32"/>
          <w:szCs w:val="32"/>
          <w:lang w:val="zh-CN" w:eastAsia="zh-CN"/>
        </w:rPr>
      </w:pPr>
      <w:r>
        <w:rPr>
          <w:rFonts w:ascii="宋体" w:hAnsi="宋体" w:eastAsia="宋体" w:cs="宋体"/>
          <w:b/>
          <w:bCs/>
          <w:sz w:val="32"/>
          <w:szCs w:val="32"/>
          <w:lang w:val="zh-CN" w:eastAsia="zh-CN"/>
        </w:rPr>
        <w:fldChar w:fldCharType="begin"/>
      </w:r>
      <w:r>
        <w:rPr>
          <w:rFonts w:ascii="宋体" w:hAnsi="宋体" w:eastAsia="宋体" w:cs="宋体"/>
          <w:b/>
          <w:bCs/>
          <w:sz w:val="32"/>
          <w:szCs w:val="32"/>
          <w:lang w:val="zh-CN" w:eastAsia="zh-CN"/>
        </w:rPr>
        <w:instrText xml:space="preserve"> HYPERLINK "https://law.wkinfo.com.cn/document/show?collection=case&amp;aid=MjAxMDA0NzE3NTI%3D&amp;showType=0" </w:instrText>
      </w:r>
      <w:r>
        <w:rPr>
          <w:rFonts w:ascii="宋体" w:hAnsi="宋体" w:eastAsia="宋体" w:cs="宋体"/>
          <w:b/>
          <w:bCs/>
          <w:sz w:val="32"/>
          <w:szCs w:val="32"/>
          <w:lang w:val="zh-CN" w:eastAsia="zh-CN"/>
        </w:rPr>
        <w:fldChar w:fldCharType="separate"/>
      </w:r>
      <w:r>
        <w:rPr>
          <w:rStyle w:val="7"/>
          <w:rFonts w:ascii="宋体" w:hAnsi="宋体" w:eastAsia="宋体" w:cs="宋体"/>
          <w:b/>
          <w:bCs/>
          <w:lang w:val="zh-CN" w:eastAsia="zh-CN"/>
        </w:rPr>
        <w:t>S航运有限公司申请承认外国法院民事判决案——最高人民法院发布第四十一批指导性案例之六【指导性案例235号】</w:t>
      </w:r>
      <w:r>
        <w:rPr>
          <w:rStyle w:val="7"/>
          <w:rFonts w:ascii="宋体" w:hAnsi="宋体" w:eastAsia="宋体" w:cs="宋体"/>
          <w:b/>
          <w:bCs/>
          <w:lang w:val="zh-CN" w:eastAsia="zh-CN"/>
        </w:rPr>
        <w:fldChar w:fldCharType="end"/>
      </w:r>
    </w:p>
    <w:p w14:paraId="3C2D8133">
      <w:pPr>
        <w:pStyle w:val="6"/>
        <w:pBdr>
          <w:top w:val="none" w:color="auto" w:sz="0" w:space="0"/>
          <w:left w:val="none" w:color="auto" w:sz="0" w:space="0"/>
          <w:bottom w:val="none" w:color="auto" w:sz="0" w:space="0"/>
          <w:right w:val="none" w:color="auto" w:sz="0" w:space="0"/>
        </w:pBdr>
        <w:spacing w:before="0" w:after="0" w:line="390" w:lineRule="atLeast"/>
        <w:ind w:left="0" w:right="0"/>
        <w:outlineLvl w:val="0"/>
        <w:rPr>
          <w:rFonts w:ascii="宋体" w:hAnsi="宋体" w:eastAsia="宋体" w:cs="宋体"/>
          <w:b/>
          <w:bCs/>
          <w:sz w:val="32"/>
          <w:szCs w:val="32"/>
          <w:lang w:val="zh-CN" w:eastAsia="zh-CN"/>
        </w:rPr>
      </w:pPr>
    </w:p>
    <w:tbl>
      <w:tblPr>
        <w:tblStyle w:val="9"/>
        <w:tblW w:w="5000" w:type="pct"/>
        <w:tblInd w:w="0" w:type="dxa"/>
        <w:tblLayout w:type="autofit"/>
        <w:tblCellMar>
          <w:top w:w="0" w:type="dxa"/>
          <w:left w:w="0" w:type="dxa"/>
          <w:bottom w:w="0" w:type="dxa"/>
          <w:right w:w="0" w:type="dxa"/>
        </w:tblCellMar>
      </w:tblPr>
      <w:tblGrid>
        <w:gridCol w:w="1539"/>
        <w:gridCol w:w="210"/>
        <w:gridCol w:w="7991"/>
      </w:tblGrid>
      <w:tr w14:paraId="0C1F1387">
        <w:tblPrEx>
          <w:tblCellMar>
            <w:top w:w="0" w:type="dxa"/>
            <w:left w:w="0" w:type="dxa"/>
            <w:bottom w:w="0" w:type="dxa"/>
            <w:right w:w="0" w:type="dxa"/>
          </w:tblCellMar>
        </w:tblPrEx>
        <w:trPr>
          <w:wBefore w:w="0" w:type="dxa"/>
          <w:trHeight w:val="480" w:hRule="atLeast"/>
        </w:trPr>
        <w:tc>
          <w:tcPr>
            <w:tcW w:w="1560" w:type="dxa"/>
            <w:shd w:val="clear" w:color="auto" w:fill="FFFFFF"/>
            <w:noWrap w:val="0"/>
            <w:tcMar>
              <w:top w:w="0" w:type="dxa"/>
              <w:left w:w="0" w:type="dxa"/>
              <w:bottom w:w="0" w:type="dxa"/>
              <w:right w:w="0" w:type="dxa"/>
            </w:tcMar>
            <w:vAlign w:val="top"/>
          </w:tcPr>
          <w:p w14:paraId="0DF8E8AC">
            <w:pPr>
              <w:spacing w:line="210" w:lineRule="atLeast"/>
              <w:ind w:left="0" w:firstLine="0"/>
              <w:jc w:val="distribute"/>
              <w:rPr>
                <w:rFonts w:ascii="宋体" w:hAnsi="宋体" w:eastAsia="宋体" w:cs="宋体"/>
                <w:b/>
                <w:bCs/>
                <w:i w:val="0"/>
                <w:iCs w:val="0"/>
                <w:smallCaps w:val="0"/>
                <w:color w:val="000000"/>
                <w:sz w:val="21"/>
                <w:szCs w:val="21"/>
                <w:lang w:val="zh-CN" w:eastAsia="zh-CN"/>
              </w:rPr>
            </w:pPr>
            <w:r>
              <w:rPr>
                <w:rStyle w:val="8"/>
                <w:rFonts w:ascii="宋体" w:hAnsi="宋体" w:eastAsia="宋体" w:cs="宋体"/>
                <w:b/>
                <w:bCs/>
                <w:i w:val="0"/>
                <w:iCs w:val="0"/>
                <w:smallCaps w:val="0"/>
                <w:color w:val="000000"/>
                <w:sz w:val="21"/>
                <w:szCs w:val="21"/>
                <w:lang w:val="zh-CN" w:eastAsia="zh-CN"/>
              </w:rPr>
              <w:t>审理法院</w:t>
            </w:r>
          </w:p>
        </w:tc>
        <w:tc>
          <w:tcPr>
            <w:tcW w:w="80" w:type="dxa"/>
            <w:shd w:val="clear" w:color="auto" w:fill="FFFFFF"/>
            <w:noWrap w:val="0"/>
            <w:tcMar>
              <w:top w:w="0" w:type="dxa"/>
              <w:left w:w="0" w:type="dxa"/>
              <w:bottom w:w="0" w:type="dxa"/>
              <w:right w:w="0" w:type="dxa"/>
            </w:tcMar>
            <w:vAlign w:val="top"/>
          </w:tcPr>
          <w:p w14:paraId="6035FB0C">
            <w:pPr>
              <w:spacing w:line="210" w:lineRule="atLeast"/>
              <w:ind w:left="0" w:firstLine="0"/>
              <w:rPr>
                <w:rFonts w:ascii="宋体" w:hAnsi="宋体" w:eastAsia="宋体" w:cs="宋体"/>
                <w:b w:val="0"/>
                <w:bCs w:val="0"/>
                <w:i w:val="0"/>
                <w:iCs w:val="0"/>
                <w:smallCaps w:val="0"/>
                <w:color w:val="000000"/>
                <w:sz w:val="21"/>
                <w:szCs w:val="21"/>
                <w:lang w:val="zh-CN" w:eastAsia="zh-CN"/>
              </w:rPr>
            </w:pPr>
            <w:r>
              <w:rPr>
                <w:rFonts w:ascii="宋体" w:hAnsi="宋体" w:eastAsia="宋体" w:cs="宋体"/>
                <w:b w:val="0"/>
                <w:bCs w:val="0"/>
                <w:i w:val="0"/>
                <w:iCs w:val="0"/>
                <w:smallCaps w:val="0"/>
                <w:color w:val="000000"/>
                <w:sz w:val="21"/>
                <w:szCs w:val="21"/>
                <w:lang w:val="zh-CN" w:eastAsia="zh-CN"/>
              </w:rPr>
              <w:t>：</w:t>
            </w:r>
          </w:p>
        </w:tc>
        <w:tc>
          <w:tcPr>
            <w:tcW w:w="8100" w:type="dxa"/>
            <w:shd w:val="clear" w:color="auto" w:fill="FFFFFF"/>
            <w:noWrap w:val="0"/>
            <w:tcMar>
              <w:top w:w="0" w:type="dxa"/>
              <w:left w:w="0" w:type="dxa"/>
              <w:bottom w:w="0" w:type="dxa"/>
              <w:right w:w="0" w:type="dxa"/>
            </w:tcMar>
            <w:tcFitText/>
            <w:vAlign w:val="top"/>
          </w:tcPr>
          <w:p w14:paraId="12EEB4C3">
            <w:pPr>
              <w:spacing w:line="210" w:lineRule="atLeast"/>
              <w:ind w:left="0" w:firstLine="0"/>
              <w:rPr>
                <w:rFonts w:ascii="宋体" w:hAnsi="宋体" w:eastAsia="宋体" w:cs="宋体"/>
                <w:b w:val="0"/>
                <w:bCs w:val="0"/>
                <w:i w:val="0"/>
                <w:iCs w:val="0"/>
                <w:smallCaps w:val="0"/>
                <w:color w:val="000000"/>
                <w:sz w:val="21"/>
                <w:szCs w:val="21"/>
                <w:lang w:val="zh-CN" w:eastAsia="zh-CN"/>
              </w:rPr>
            </w:pPr>
            <w:r>
              <w:rPr>
                <w:rStyle w:val="8"/>
                <w:rFonts w:ascii="宋体" w:hAnsi="宋体" w:eastAsia="宋体" w:cs="宋体"/>
                <w:b w:val="0"/>
                <w:bCs w:val="0"/>
                <w:i w:val="0"/>
                <w:iCs w:val="0"/>
                <w:smallCaps w:val="0"/>
                <w:color w:val="000000"/>
                <w:sz w:val="21"/>
                <w:szCs w:val="21"/>
                <w:lang w:val="zh-CN" w:eastAsia="zh-CN"/>
              </w:rPr>
              <w:t>****海事****</w:t>
            </w:r>
          </w:p>
        </w:tc>
      </w:tr>
      <w:tr w14:paraId="086377C7">
        <w:tblPrEx>
          <w:tblCellMar>
            <w:top w:w="0" w:type="dxa"/>
            <w:left w:w="0" w:type="dxa"/>
            <w:bottom w:w="0" w:type="dxa"/>
            <w:right w:w="0" w:type="dxa"/>
          </w:tblCellMar>
        </w:tblPrEx>
        <w:trPr>
          <w:wBefore w:w="0" w:type="dxa"/>
          <w:trHeight w:val="480" w:hRule="atLeast"/>
        </w:trPr>
        <w:tc>
          <w:tcPr>
            <w:tcW w:w="1560" w:type="dxa"/>
            <w:shd w:val="clear" w:color="auto" w:fill="FFFFFF"/>
            <w:noWrap w:val="0"/>
            <w:tcMar>
              <w:top w:w="0" w:type="dxa"/>
              <w:left w:w="0" w:type="dxa"/>
              <w:bottom w:w="0" w:type="dxa"/>
              <w:right w:w="0" w:type="dxa"/>
            </w:tcMar>
            <w:vAlign w:val="top"/>
          </w:tcPr>
          <w:p w14:paraId="775407DE">
            <w:pPr>
              <w:spacing w:line="210" w:lineRule="atLeast"/>
              <w:ind w:left="0" w:firstLine="0"/>
              <w:jc w:val="distribute"/>
              <w:rPr>
                <w:rFonts w:ascii="宋体" w:hAnsi="宋体" w:eastAsia="宋体" w:cs="宋体"/>
                <w:b/>
                <w:bCs/>
                <w:i w:val="0"/>
                <w:iCs w:val="0"/>
                <w:smallCaps w:val="0"/>
                <w:color w:val="000000"/>
                <w:sz w:val="21"/>
                <w:szCs w:val="21"/>
                <w:lang w:val="zh-CN" w:eastAsia="zh-CN"/>
              </w:rPr>
            </w:pPr>
            <w:r>
              <w:rPr>
                <w:rStyle w:val="8"/>
                <w:rFonts w:ascii="宋体" w:hAnsi="宋体" w:eastAsia="宋体" w:cs="宋体"/>
                <w:b/>
                <w:bCs/>
                <w:i w:val="0"/>
                <w:iCs w:val="0"/>
                <w:smallCaps w:val="0"/>
                <w:color w:val="000000"/>
                <w:sz w:val="21"/>
                <w:szCs w:val="21"/>
                <w:lang w:val="zh-CN" w:eastAsia="zh-CN"/>
              </w:rPr>
              <w:t>案号</w:t>
            </w:r>
          </w:p>
        </w:tc>
        <w:tc>
          <w:tcPr>
            <w:tcW w:w="80" w:type="dxa"/>
            <w:shd w:val="clear" w:color="auto" w:fill="FFFFFF"/>
            <w:noWrap w:val="0"/>
            <w:tcMar>
              <w:top w:w="0" w:type="dxa"/>
              <w:left w:w="0" w:type="dxa"/>
              <w:bottom w:w="0" w:type="dxa"/>
              <w:right w:w="0" w:type="dxa"/>
            </w:tcMar>
            <w:vAlign w:val="top"/>
          </w:tcPr>
          <w:p w14:paraId="3AB7EB65">
            <w:pPr>
              <w:spacing w:line="210" w:lineRule="atLeast"/>
              <w:ind w:left="0" w:firstLine="0"/>
              <w:rPr>
                <w:rFonts w:ascii="宋体" w:hAnsi="宋体" w:eastAsia="宋体" w:cs="宋体"/>
                <w:b w:val="0"/>
                <w:bCs w:val="0"/>
                <w:i w:val="0"/>
                <w:iCs w:val="0"/>
                <w:smallCaps w:val="0"/>
                <w:color w:val="000000"/>
                <w:sz w:val="21"/>
                <w:szCs w:val="21"/>
                <w:lang w:val="zh-CN" w:eastAsia="zh-CN"/>
              </w:rPr>
            </w:pPr>
            <w:r>
              <w:rPr>
                <w:rFonts w:ascii="宋体" w:hAnsi="宋体" w:eastAsia="宋体" w:cs="宋体"/>
                <w:b w:val="0"/>
                <w:bCs w:val="0"/>
                <w:i w:val="0"/>
                <w:iCs w:val="0"/>
                <w:smallCaps w:val="0"/>
                <w:color w:val="000000"/>
                <w:sz w:val="21"/>
                <w:szCs w:val="21"/>
                <w:lang w:val="zh-CN" w:eastAsia="zh-CN"/>
              </w:rPr>
              <w:t>：</w:t>
            </w:r>
          </w:p>
        </w:tc>
        <w:tc>
          <w:tcPr>
            <w:tcW w:w="8100" w:type="dxa"/>
            <w:shd w:val="clear" w:color="auto" w:fill="FFFFFF"/>
            <w:noWrap w:val="0"/>
            <w:tcMar>
              <w:top w:w="0" w:type="dxa"/>
              <w:left w:w="0" w:type="dxa"/>
              <w:bottom w:w="0" w:type="dxa"/>
              <w:right w:w="0" w:type="dxa"/>
            </w:tcMar>
            <w:tcFitText/>
            <w:vAlign w:val="top"/>
          </w:tcPr>
          <w:p w14:paraId="4F216A42">
            <w:pPr>
              <w:spacing w:line="210" w:lineRule="atLeast"/>
              <w:ind w:left="0" w:firstLine="0"/>
              <w:rPr>
                <w:rFonts w:ascii="宋体" w:hAnsi="宋体" w:eastAsia="宋体" w:cs="宋体"/>
                <w:b w:val="0"/>
                <w:bCs w:val="0"/>
                <w:i w:val="0"/>
                <w:iCs w:val="0"/>
                <w:smallCaps w:val="0"/>
                <w:color w:val="000000"/>
                <w:sz w:val="21"/>
                <w:szCs w:val="21"/>
                <w:lang w:val="zh-CN" w:eastAsia="zh-CN"/>
              </w:rPr>
            </w:pPr>
            <w:r>
              <w:rPr>
                <w:rStyle w:val="8"/>
                <w:rFonts w:ascii="宋体" w:hAnsi="宋体" w:eastAsia="宋体" w:cs="宋体"/>
                <w:b w:val="0"/>
                <w:bCs w:val="0"/>
                <w:i w:val="0"/>
                <w:iCs w:val="0"/>
                <w:smallCaps w:val="0"/>
                <w:color w:val="000000"/>
                <w:sz w:val="21"/>
                <w:szCs w:val="21"/>
                <w:lang w:val="zh-CN" w:eastAsia="zh-CN"/>
              </w:rPr>
              <w:t>(2018)沪**协外认1号</w:t>
            </w:r>
          </w:p>
        </w:tc>
      </w:tr>
      <w:tr w14:paraId="53FD36BF">
        <w:tblPrEx>
          <w:tblCellMar>
            <w:top w:w="0" w:type="dxa"/>
            <w:left w:w="0" w:type="dxa"/>
            <w:bottom w:w="0" w:type="dxa"/>
            <w:right w:w="0" w:type="dxa"/>
          </w:tblCellMar>
        </w:tblPrEx>
        <w:trPr>
          <w:wBefore w:w="0" w:type="dxa"/>
          <w:trHeight w:val="480" w:hRule="atLeast"/>
        </w:trPr>
        <w:tc>
          <w:tcPr>
            <w:tcW w:w="1560" w:type="dxa"/>
            <w:shd w:val="clear" w:color="auto" w:fill="FFFFFF"/>
            <w:noWrap w:val="0"/>
            <w:tcMar>
              <w:top w:w="0" w:type="dxa"/>
              <w:left w:w="0" w:type="dxa"/>
              <w:bottom w:w="0" w:type="dxa"/>
              <w:right w:w="0" w:type="dxa"/>
            </w:tcMar>
            <w:vAlign w:val="top"/>
          </w:tcPr>
          <w:p w14:paraId="0BCE31B5">
            <w:pPr>
              <w:spacing w:line="210" w:lineRule="atLeast"/>
              <w:ind w:left="0" w:firstLine="0"/>
              <w:jc w:val="distribute"/>
              <w:rPr>
                <w:rFonts w:ascii="宋体" w:hAnsi="宋体" w:eastAsia="宋体" w:cs="宋体"/>
                <w:b/>
                <w:bCs/>
                <w:i w:val="0"/>
                <w:iCs w:val="0"/>
                <w:smallCaps w:val="0"/>
                <w:color w:val="000000"/>
                <w:sz w:val="21"/>
                <w:szCs w:val="21"/>
                <w:lang w:val="zh-CN" w:eastAsia="zh-CN"/>
              </w:rPr>
            </w:pPr>
            <w:r>
              <w:rPr>
                <w:rStyle w:val="8"/>
                <w:rFonts w:ascii="宋体" w:hAnsi="宋体" w:eastAsia="宋体" w:cs="宋体"/>
                <w:b/>
                <w:bCs/>
                <w:i w:val="0"/>
                <w:iCs w:val="0"/>
                <w:smallCaps w:val="0"/>
                <w:color w:val="000000"/>
                <w:sz w:val="21"/>
                <w:szCs w:val="21"/>
                <w:lang w:val="zh-CN" w:eastAsia="zh-CN"/>
              </w:rPr>
              <w:t>裁判日期</w:t>
            </w:r>
          </w:p>
        </w:tc>
        <w:tc>
          <w:tcPr>
            <w:tcW w:w="80" w:type="dxa"/>
            <w:shd w:val="clear" w:color="auto" w:fill="FFFFFF"/>
            <w:noWrap w:val="0"/>
            <w:tcMar>
              <w:top w:w="0" w:type="dxa"/>
              <w:left w:w="0" w:type="dxa"/>
              <w:bottom w:w="0" w:type="dxa"/>
              <w:right w:w="0" w:type="dxa"/>
            </w:tcMar>
            <w:vAlign w:val="top"/>
          </w:tcPr>
          <w:p w14:paraId="56DC4FC3">
            <w:pPr>
              <w:spacing w:line="210" w:lineRule="atLeast"/>
              <w:ind w:left="0" w:firstLine="0"/>
              <w:rPr>
                <w:rFonts w:ascii="宋体" w:hAnsi="宋体" w:eastAsia="宋体" w:cs="宋体"/>
                <w:b w:val="0"/>
                <w:bCs w:val="0"/>
                <w:i w:val="0"/>
                <w:iCs w:val="0"/>
                <w:smallCaps w:val="0"/>
                <w:color w:val="000000"/>
                <w:sz w:val="21"/>
                <w:szCs w:val="21"/>
                <w:lang w:val="zh-CN" w:eastAsia="zh-CN"/>
              </w:rPr>
            </w:pPr>
            <w:r>
              <w:rPr>
                <w:rFonts w:ascii="宋体" w:hAnsi="宋体" w:eastAsia="宋体" w:cs="宋体"/>
                <w:b w:val="0"/>
                <w:bCs w:val="0"/>
                <w:i w:val="0"/>
                <w:iCs w:val="0"/>
                <w:smallCaps w:val="0"/>
                <w:color w:val="000000"/>
                <w:sz w:val="21"/>
                <w:szCs w:val="21"/>
                <w:lang w:val="zh-CN" w:eastAsia="zh-CN"/>
              </w:rPr>
              <w:t>：</w:t>
            </w:r>
          </w:p>
        </w:tc>
        <w:tc>
          <w:tcPr>
            <w:tcW w:w="8100" w:type="dxa"/>
            <w:shd w:val="clear" w:color="auto" w:fill="FFFFFF"/>
            <w:noWrap w:val="0"/>
            <w:tcMar>
              <w:top w:w="0" w:type="dxa"/>
              <w:left w:w="0" w:type="dxa"/>
              <w:bottom w:w="0" w:type="dxa"/>
              <w:right w:w="0" w:type="dxa"/>
            </w:tcMar>
            <w:tcFitText/>
            <w:vAlign w:val="top"/>
          </w:tcPr>
          <w:p w14:paraId="23AC0A50">
            <w:pPr>
              <w:spacing w:line="210" w:lineRule="atLeast"/>
              <w:ind w:left="0" w:firstLine="0"/>
              <w:rPr>
                <w:rFonts w:ascii="宋体" w:hAnsi="宋体" w:eastAsia="宋体" w:cs="宋体"/>
                <w:b w:val="0"/>
                <w:bCs w:val="0"/>
                <w:i w:val="0"/>
                <w:iCs w:val="0"/>
                <w:smallCaps w:val="0"/>
                <w:color w:val="000000"/>
                <w:sz w:val="21"/>
                <w:szCs w:val="21"/>
                <w:lang w:val="zh-CN" w:eastAsia="zh-CN"/>
              </w:rPr>
            </w:pPr>
            <w:r>
              <w:rPr>
                <w:rStyle w:val="8"/>
                <w:rFonts w:ascii="宋体" w:hAnsi="宋体" w:eastAsia="宋体" w:cs="宋体"/>
                <w:b w:val="0"/>
                <w:bCs w:val="0"/>
                <w:i w:val="0"/>
                <w:iCs w:val="0"/>
                <w:smallCaps w:val="0"/>
                <w:color w:val="000000"/>
                <w:sz w:val="21"/>
                <w:szCs w:val="21"/>
                <w:lang w:val="zh-CN" w:eastAsia="zh-CN"/>
              </w:rPr>
              <w:t>2022.03****</w:t>
            </w:r>
          </w:p>
        </w:tc>
      </w:tr>
      <w:tr w14:paraId="74D6EE31">
        <w:tblPrEx>
          <w:tblCellMar>
            <w:top w:w="0" w:type="dxa"/>
            <w:left w:w="0" w:type="dxa"/>
            <w:bottom w:w="0" w:type="dxa"/>
            <w:right w:w="0" w:type="dxa"/>
          </w:tblCellMar>
        </w:tblPrEx>
        <w:trPr>
          <w:wBefore w:w="0" w:type="dxa"/>
          <w:trHeight w:val="480" w:hRule="atLeast"/>
        </w:trPr>
        <w:tc>
          <w:tcPr>
            <w:tcW w:w="1560" w:type="dxa"/>
            <w:shd w:val="clear" w:color="auto" w:fill="FFFFFF"/>
            <w:noWrap w:val="0"/>
            <w:tcMar>
              <w:top w:w="0" w:type="dxa"/>
              <w:left w:w="0" w:type="dxa"/>
              <w:bottom w:w="0" w:type="dxa"/>
              <w:right w:w="0" w:type="dxa"/>
            </w:tcMar>
            <w:vAlign w:val="top"/>
          </w:tcPr>
          <w:p w14:paraId="032CD9BB">
            <w:pPr>
              <w:spacing w:line="210" w:lineRule="atLeast"/>
              <w:ind w:left="0" w:firstLine="0"/>
              <w:jc w:val="distribute"/>
              <w:rPr>
                <w:rFonts w:ascii="宋体" w:hAnsi="宋体" w:eastAsia="宋体" w:cs="宋体"/>
                <w:b/>
                <w:bCs/>
                <w:i w:val="0"/>
                <w:iCs w:val="0"/>
                <w:smallCaps w:val="0"/>
                <w:color w:val="000000"/>
                <w:sz w:val="21"/>
                <w:szCs w:val="21"/>
                <w:lang w:val="zh-CN" w:eastAsia="zh-CN"/>
              </w:rPr>
            </w:pPr>
            <w:r>
              <w:rPr>
                <w:rStyle w:val="8"/>
                <w:rFonts w:ascii="宋体" w:hAnsi="宋体" w:eastAsia="宋体" w:cs="宋体"/>
                <w:b/>
                <w:bCs/>
                <w:i w:val="0"/>
                <w:iCs w:val="0"/>
                <w:smallCaps w:val="0"/>
                <w:color w:val="000000"/>
                <w:sz w:val="21"/>
                <w:szCs w:val="21"/>
                <w:lang w:val="zh-CN" w:eastAsia="zh-CN"/>
              </w:rPr>
              <w:t>案由</w:t>
            </w:r>
          </w:p>
        </w:tc>
        <w:tc>
          <w:tcPr>
            <w:tcW w:w="80" w:type="dxa"/>
            <w:shd w:val="clear" w:color="auto" w:fill="FFFFFF"/>
            <w:noWrap w:val="0"/>
            <w:tcMar>
              <w:top w:w="0" w:type="dxa"/>
              <w:left w:w="0" w:type="dxa"/>
              <w:bottom w:w="0" w:type="dxa"/>
              <w:right w:w="0" w:type="dxa"/>
            </w:tcMar>
            <w:vAlign w:val="top"/>
          </w:tcPr>
          <w:p w14:paraId="12772EEC">
            <w:pPr>
              <w:spacing w:line="210" w:lineRule="atLeast"/>
              <w:ind w:left="0" w:firstLine="0"/>
              <w:rPr>
                <w:rFonts w:ascii="宋体" w:hAnsi="宋体" w:eastAsia="宋体" w:cs="宋体"/>
                <w:b w:val="0"/>
                <w:bCs w:val="0"/>
                <w:i w:val="0"/>
                <w:iCs w:val="0"/>
                <w:smallCaps w:val="0"/>
                <w:color w:val="000000"/>
                <w:sz w:val="21"/>
                <w:szCs w:val="21"/>
                <w:lang w:val="zh-CN" w:eastAsia="zh-CN"/>
              </w:rPr>
            </w:pPr>
            <w:r>
              <w:rPr>
                <w:rFonts w:ascii="宋体" w:hAnsi="宋体" w:eastAsia="宋体" w:cs="宋体"/>
                <w:b w:val="0"/>
                <w:bCs w:val="0"/>
                <w:i w:val="0"/>
                <w:iCs w:val="0"/>
                <w:smallCaps w:val="0"/>
                <w:color w:val="000000"/>
                <w:sz w:val="21"/>
                <w:szCs w:val="21"/>
                <w:lang w:val="zh-CN" w:eastAsia="zh-CN"/>
              </w:rPr>
              <w:t>：</w:t>
            </w:r>
          </w:p>
        </w:tc>
        <w:tc>
          <w:tcPr>
            <w:tcW w:w="8100" w:type="dxa"/>
            <w:shd w:val="clear" w:color="auto" w:fill="FFFFFF"/>
            <w:noWrap w:val="0"/>
            <w:tcMar>
              <w:top w:w="0" w:type="dxa"/>
              <w:left w:w="0" w:type="dxa"/>
              <w:bottom w:w="0" w:type="dxa"/>
              <w:right w:w="0" w:type="dxa"/>
            </w:tcMar>
            <w:tcFitText/>
            <w:vAlign w:val="top"/>
          </w:tcPr>
          <w:p w14:paraId="65D7B54C">
            <w:pPr>
              <w:spacing w:line="210" w:lineRule="atLeast"/>
              <w:ind w:left="0" w:firstLine="0"/>
              <w:rPr>
                <w:rFonts w:ascii="宋体" w:hAnsi="宋体" w:eastAsia="宋体" w:cs="宋体"/>
                <w:b w:val="0"/>
                <w:bCs w:val="0"/>
                <w:i w:val="0"/>
                <w:iCs w:val="0"/>
                <w:smallCaps w:val="0"/>
                <w:color w:val="000000"/>
                <w:sz w:val="21"/>
                <w:szCs w:val="21"/>
                <w:lang w:val="zh-CN" w:eastAsia="zh-CN"/>
              </w:rPr>
            </w:pPr>
            <w:r>
              <w:rPr>
                <w:rStyle w:val="8"/>
                <w:rFonts w:ascii="宋体" w:hAnsi="宋体" w:eastAsia="宋体" w:cs="宋体"/>
                <w:b w:val="0"/>
                <w:bCs w:val="0"/>
                <w:i w:val="0"/>
                <w:iCs w:val="0"/>
                <w:smallCaps w:val="0"/>
                <w:color w:val="000000"/>
                <w:sz w:val="21"/>
                <w:szCs w:val="21"/>
                <w:lang w:val="zh-CN" w:eastAsia="zh-CN"/>
              </w:rPr>
              <w:t>民事</w:t>
            </w:r>
          </w:p>
        </w:tc>
      </w:tr>
    </w:tbl>
    <w:p w14:paraId="4B2B8D46">
      <w:pPr>
        <w:pBdr>
          <w:top w:val="dotted" w:color="D9D9D9" w:sz="12" w:space="0"/>
        </w:pBdr>
        <w:spacing w:before="200"/>
      </w:pPr>
    </w:p>
    <w:p w14:paraId="1AACBD00">
      <w:pPr>
        <w:pStyle w:val="5"/>
        <w:spacing w:before="0" w:after="0" w:line="390" w:lineRule="atLeast"/>
        <w:ind w:left="0" w:right="0"/>
        <w:rPr>
          <w:rFonts w:ascii="宋体" w:hAnsi="宋体" w:eastAsia="宋体" w:cs="宋体"/>
          <w:sz w:val="21"/>
          <w:szCs w:val="21"/>
          <w:lang w:val="zh-CN" w:eastAsia="zh-CN"/>
        </w:rPr>
      </w:pPr>
      <w:r>
        <w:rPr>
          <w:rStyle w:val="8"/>
          <w:rFonts w:ascii="宋体" w:hAnsi="宋体" w:eastAsia="宋体" w:cs="宋体"/>
          <w:b/>
          <w:bCs/>
          <w:sz w:val="21"/>
          <w:szCs w:val="21"/>
          <w:lang w:val="zh-CN" w:eastAsia="zh-CN"/>
        </w:rPr>
        <w:t>关键词</w:t>
      </w:r>
    </w:p>
    <w:p w14:paraId="2EDB9A26">
      <w:pPr>
        <w:pStyle w:val="5"/>
        <w:spacing w:before="0" w:after="0" w:line="390" w:lineRule="atLeast"/>
        <w:ind w:left="0" w:right="0"/>
        <w:rPr>
          <w:rFonts w:ascii="宋体" w:hAnsi="宋体" w:eastAsia="宋体" w:cs="宋体"/>
          <w:sz w:val="21"/>
          <w:szCs w:val="21"/>
          <w:lang w:val="zh-CN" w:eastAsia="zh-CN"/>
        </w:rPr>
      </w:pPr>
      <w:r>
        <w:rPr>
          <w:rFonts w:ascii="宋体" w:hAnsi="宋体" w:eastAsia="宋体" w:cs="宋体"/>
          <w:sz w:val="21"/>
          <w:szCs w:val="21"/>
          <w:lang w:val="zh-CN" w:eastAsia="zh-CN"/>
        </w:rPr>
        <w:t>民事/申请承认外国法院民事判决/互惠关系/个案审查/事实互惠/法律互惠</w:t>
      </w:r>
    </w:p>
    <w:p w14:paraId="2D6A23EB">
      <w:pPr>
        <w:pStyle w:val="5"/>
        <w:spacing w:before="0" w:after="0" w:line="390" w:lineRule="atLeast"/>
        <w:ind w:left="0" w:right="0"/>
        <w:rPr>
          <w:rFonts w:ascii="宋体" w:hAnsi="宋体" w:eastAsia="宋体" w:cs="宋体"/>
          <w:sz w:val="21"/>
          <w:szCs w:val="21"/>
          <w:lang w:val="zh-CN" w:eastAsia="zh-CN"/>
        </w:rPr>
      </w:pPr>
      <w:r>
        <w:rPr>
          <w:rStyle w:val="8"/>
          <w:rFonts w:ascii="宋体" w:hAnsi="宋体" w:eastAsia="宋体" w:cs="宋体"/>
          <w:b/>
          <w:bCs/>
          <w:sz w:val="21"/>
          <w:szCs w:val="21"/>
          <w:lang w:val="zh-CN" w:eastAsia="zh-CN"/>
        </w:rPr>
        <w:t>裁判要点</w:t>
      </w:r>
    </w:p>
    <w:p w14:paraId="5535EC7A">
      <w:pPr>
        <w:pStyle w:val="5"/>
        <w:spacing w:before="0" w:after="0" w:line="390" w:lineRule="atLeast"/>
        <w:ind w:left="0" w:right="0"/>
        <w:rPr>
          <w:rFonts w:ascii="宋体" w:hAnsi="宋体" w:eastAsia="宋体" w:cs="宋体"/>
          <w:sz w:val="21"/>
          <w:szCs w:val="21"/>
          <w:lang w:val="zh-CN" w:eastAsia="zh-CN"/>
        </w:rPr>
      </w:pPr>
      <w:r>
        <w:rPr>
          <w:rFonts w:ascii="宋体" w:hAnsi="宋体" w:eastAsia="宋体" w:cs="宋体"/>
          <w:sz w:val="21"/>
          <w:szCs w:val="21"/>
          <w:lang w:val="zh-CN" w:eastAsia="zh-CN"/>
        </w:rPr>
        <w:t>人民法院对申请或者请求承认和执行外国法院民事判决、裁定进行审查，认定是否存在互惠关系时，不以相关外国法院对人民法院民事判决、裁定先行给予承认和执行为必要条件。如果根据相关国家的法律，人民法院作出的民事判决、裁定可以得到该国法院承认和执行，且该国没有以不存在互惠关系为由拒绝承认和执行人民法院判决、裁定先例的，可以认定我国与该国存在承认和执行民事判决、裁定的互惠关系。</w:t>
      </w:r>
    </w:p>
    <w:p w14:paraId="7E79EB5B">
      <w:pPr>
        <w:pStyle w:val="5"/>
        <w:spacing w:before="0" w:after="0" w:line="390" w:lineRule="atLeast"/>
        <w:ind w:left="0" w:right="0"/>
        <w:rPr>
          <w:rFonts w:ascii="宋体" w:hAnsi="宋体" w:eastAsia="宋体" w:cs="宋体"/>
          <w:sz w:val="21"/>
          <w:szCs w:val="21"/>
          <w:lang w:val="zh-CN" w:eastAsia="zh-CN"/>
        </w:rPr>
      </w:pPr>
      <w:r>
        <w:rPr>
          <w:rStyle w:val="8"/>
          <w:rFonts w:ascii="宋体" w:hAnsi="宋体" w:eastAsia="宋体" w:cs="宋体"/>
          <w:b/>
          <w:bCs/>
          <w:sz w:val="21"/>
          <w:szCs w:val="21"/>
          <w:lang w:val="zh-CN" w:eastAsia="zh-CN"/>
        </w:rPr>
        <w:t>基本案情</w:t>
      </w:r>
    </w:p>
    <w:p w14:paraId="15897794">
      <w:pPr>
        <w:pStyle w:val="5"/>
        <w:spacing w:before="0" w:after="0" w:line="390" w:lineRule="atLeast"/>
        <w:ind w:left="0" w:right="0"/>
        <w:rPr>
          <w:rFonts w:ascii="宋体" w:hAnsi="宋体" w:eastAsia="宋体" w:cs="宋体"/>
          <w:sz w:val="21"/>
          <w:szCs w:val="21"/>
          <w:lang w:val="zh-CN" w:eastAsia="zh-CN"/>
        </w:rPr>
      </w:pPr>
      <w:r>
        <w:rPr>
          <w:rFonts w:ascii="宋体" w:hAnsi="宋体" w:eastAsia="宋体" w:cs="宋体"/>
          <w:sz w:val="21"/>
          <w:szCs w:val="21"/>
          <w:lang w:val="zh-CN" w:eastAsia="zh-CN"/>
        </w:rPr>
        <w:t>2010年3月5日，S航运有限公司与某华（香港）轮船公司签订3份定期租船合同，将3艘船舶出租给某华（香港）轮船公司。2010年3月25日，某华物流控股（集团）有限公司（以下简称某华物流公司）向S航运有限公司出具3份保函，为某华（香港）轮船公司履行上述租船合同提供担保。3份保函均约定适用英国法，诉讼提交位于伦敦的英国高等法院审理。因某华（香港）轮船公司迟延支付租金，S航运有限公司依据保函约定向英国高等法院对某华物流公司提起诉讼。某华物流公司到庭应诉。2015年3月18日，英国高等法院作出〔2015〕EWHC 718(Comm)号判决，支持S航运有限公司的诉求。此后英国高等法院又对债权数额和诉讼费用等作出核定，分别于2015年4月27日和2016年10月3日作出命令、2016年11月1日作出最终费用证书、2018年5月17日作出修正命令。某华物流公司不服，向英国上诉法院提出上诉。2016年10月7日，英国上诉法院作出〔2016〕EWCA Civ 982号判决，对某华物流公司的上诉予以驳回。此后英国上诉法院又于2016年10月7日和2017年5月8日作出命令。某华物流公司未履行生效裁判确定的义务。S航运有限公司遂请求我国法院裁定承认英国高等法院、英国上诉法院的上述判决，以及相关一系列法院命令。某华物流公司辩称：我国与英国未缔结或参加相互承认和执行法院判决、裁定的国际条约，也未建立相应的互惠关系。</w:t>
      </w:r>
    </w:p>
    <w:p w14:paraId="0ACC0544">
      <w:pPr>
        <w:pStyle w:val="5"/>
        <w:spacing w:before="0" w:after="0" w:line="390" w:lineRule="atLeast"/>
        <w:ind w:left="0" w:right="0"/>
        <w:rPr>
          <w:rFonts w:ascii="宋体" w:hAnsi="宋体" w:eastAsia="宋体" w:cs="宋体"/>
          <w:sz w:val="21"/>
          <w:szCs w:val="21"/>
          <w:lang w:val="zh-CN" w:eastAsia="zh-CN"/>
        </w:rPr>
      </w:pPr>
      <w:r>
        <w:rPr>
          <w:rStyle w:val="8"/>
          <w:rFonts w:ascii="宋体" w:hAnsi="宋体" w:eastAsia="宋体" w:cs="宋体"/>
          <w:b/>
          <w:bCs/>
          <w:sz w:val="21"/>
          <w:szCs w:val="21"/>
          <w:lang w:val="zh-CN" w:eastAsia="zh-CN"/>
        </w:rPr>
        <w:t>裁判结果</w:t>
      </w:r>
    </w:p>
    <w:p w14:paraId="71C9AF56">
      <w:pPr>
        <w:pStyle w:val="5"/>
        <w:spacing w:before="0" w:after="0" w:line="390" w:lineRule="atLeast"/>
        <w:ind w:left="0" w:right="0"/>
        <w:rPr>
          <w:rFonts w:ascii="宋体" w:hAnsi="宋体" w:eastAsia="宋体" w:cs="宋体"/>
          <w:sz w:val="21"/>
          <w:szCs w:val="21"/>
          <w:lang w:val="zh-CN" w:eastAsia="zh-CN"/>
        </w:rPr>
      </w:pPr>
      <w:r>
        <w:rPr>
          <w:rFonts w:ascii="宋体" w:hAnsi="宋体" w:eastAsia="宋体" w:cs="宋体"/>
          <w:sz w:val="21"/>
          <w:szCs w:val="21"/>
          <w:lang w:val="zh-CN" w:eastAsia="zh-CN"/>
        </w:rPr>
        <w:t>上海海事法院于2022年3月17日作出</w:t>
      </w:r>
      <w:r>
        <w:rPr>
          <w:rFonts w:ascii="宋体" w:hAnsi="宋体" w:eastAsia="宋体" w:cs="宋体"/>
          <w:sz w:val="21"/>
          <w:szCs w:val="21"/>
          <w:lang w:val="zh-CN" w:eastAsia="zh-CN"/>
        </w:rPr>
        <w:fldChar w:fldCharType="begin"/>
      </w:r>
      <w:r>
        <w:rPr>
          <w:rFonts w:ascii="宋体" w:hAnsi="宋体" w:eastAsia="宋体" w:cs="宋体"/>
          <w:sz w:val="21"/>
          <w:szCs w:val="21"/>
          <w:lang w:val="zh-CN" w:eastAsia="zh-CN"/>
        </w:rPr>
        <w:instrText xml:space="preserve"> HYPERLINK "https://law.wkinfo.com.cn/document/show?collection=case&amp;aid=MjAzNzIyNDg0MTc%3D&amp;language=中文" </w:instrText>
      </w:r>
      <w:r>
        <w:rPr>
          <w:rFonts w:ascii="宋体" w:hAnsi="宋体" w:eastAsia="宋体" w:cs="宋体"/>
          <w:sz w:val="21"/>
          <w:szCs w:val="21"/>
          <w:lang w:val="zh-CN" w:eastAsia="zh-CN"/>
        </w:rPr>
        <w:fldChar w:fldCharType="separate"/>
      </w:r>
      <w:r>
        <w:rPr>
          <w:rStyle w:val="10"/>
          <w:rFonts w:ascii="宋体" w:hAnsi="宋体" w:eastAsia="宋体" w:cs="宋体"/>
          <w:color w:val="0000EE"/>
          <w:sz w:val="21"/>
          <w:szCs w:val="21"/>
          <w:lang w:val="zh-CN" w:eastAsia="zh-CN"/>
        </w:rPr>
        <w:t>（2018）沪72协外认1号</w:t>
      </w:r>
      <w:r>
        <w:rPr>
          <w:rStyle w:val="10"/>
          <w:rFonts w:ascii="宋体" w:hAnsi="宋体" w:eastAsia="宋体" w:cs="宋体"/>
          <w:color w:val="0000EE"/>
          <w:sz w:val="21"/>
          <w:szCs w:val="21"/>
          <w:lang w:val="zh-CN" w:eastAsia="zh-CN"/>
        </w:rPr>
        <w:fldChar w:fldCharType="end"/>
      </w:r>
      <w:r>
        <w:rPr>
          <w:rFonts w:ascii="宋体" w:hAnsi="宋体" w:eastAsia="宋体" w:cs="宋体"/>
          <w:sz w:val="21"/>
          <w:szCs w:val="21"/>
          <w:lang w:val="zh-CN" w:eastAsia="zh-CN"/>
        </w:rPr>
        <w:t>民事裁定：承认英国高等法院于2015年3月18日作出的〔2015〕EWHC 718(Comm)号判决及其在该案下于2015年4月27日、2016年10月3日作出的命令、2016年11月1日作出的最终费用证书和2018年5月17日作出的修正命令；承认英国上诉法院于2016年10月7日作出的〔2016〕EWCA Civ 982号判决及其在该案下于2016年10月7日、2017年5月8日作出的命令。</w:t>
      </w:r>
    </w:p>
    <w:p w14:paraId="1AD8A21B">
      <w:pPr>
        <w:pStyle w:val="5"/>
        <w:spacing w:before="0" w:after="0" w:line="390" w:lineRule="atLeast"/>
        <w:ind w:left="0" w:right="0"/>
        <w:rPr>
          <w:rFonts w:ascii="宋体" w:hAnsi="宋体" w:eastAsia="宋体" w:cs="宋体"/>
          <w:sz w:val="21"/>
          <w:szCs w:val="21"/>
          <w:lang w:val="zh-CN" w:eastAsia="zh-CN"/>
        </w:rPr>
      </w:pPr>
      <w:r>
        <w:rPr>
          <w:rStyle w:val="8"/>
          <w:rFonts w:ascii="宋体" w:hAnsi="宋体" w:eastAsia="宋体" w:cs="宋体"/>
          <w:b/>
          <w:bCs/>
          <w:sz w:val="21"/>
          <w:szCs w:val="21"/>
          <w:lang w:val="zh-CN" w:eastAsia="zh-CN"/>
        </w:rPr>
        <w:t>裁判理由</w:t>
      </w:r>
    </w:p>
    <w:p w14:paraId="00692FC2">
      <w:pPr>
        <w:pStyle w:val="5"/>
        <w:spacing w:before="0" w:after="0" w:line="390" w:lineRule="atLeast"/>
        <w:ind w:left="0" w:right="0"/>
        <w:rPr>
          <w:rFonts w:ascii="宋体" w:hAnsi="宋体" w:eastAsia="宋体" w:cs="宋体"/>
          <w:sz w:val="21"/>
          <w:szCs w:val="21"/>
          <w:lang w:val="zh-CN" w:eastAsia="zh-CN"/>
        </w:rPr>
      </w:pPr>
      <w:r>
        <w:rPr>
          <w:rFonts w:ascii="宋体" w:hAnsi="宋体" w:eastAsia="宋体" w:cs="宋体"/>
          <w:sz w:val="21"/>
          <w:szCs w:val="21"/>
          <w:lang w:val="zh-CN" w:eastAsia="zh-CN"/>
        </w:rPr>
        <w:t>本案系申请承认外国法院民事判决案。根据《</w:t>
      </w:r>
      <w:r>
        <w:rPr>
          <w:rFonts w:ascii="宋体" w:hAnsi="宋体" w:eastAsia="宋体" w:cs="宋体"/>
          <w:sz w:val="21"/>
          <w:szCs w:val="21"/>
          <w:lang w:val="zh-CN" w:eastAsia="zh-CN"/>
        </w:rPr>
        <w:fldChar w:fldCharType="begin"/>
      </w:r>
      <w:r>
        <w:rPr>
          <w:rFonts w:ascii="宋体" w:hAnsi="宋体" w:eastAsia="宋体" w:cs="宋体"/>
          <w:sz w:val="21"/>
          <w:szCs w:val="21"/>
          <w:lang w:val="zh-CN" w:eastAsia="zh-CN"/>
        </w:rPr>
        <w:instrText xml:space="preserve"> HYPERLINK "https://law.wkinfo.com.cn/document/show?title=&amp;bid=&amp;collection=legislation&amp;language=&amp;showType=&amp;aid=MTAxMDAxMjQyNjg%253D" </w:instrText>
      </w:r>
      <w:r>
        <w:rPr>
          <w:rFonts w:ascii="宋体" w:hAnsi="宋体" w:eastAsia="宋体" w:cs="宋体"/>
          <w:sz w:val="21"/>
          <w:szCs w:val="21"/>
          <w:lang w:val="zh-CN" w:eastAsia="zh-CN"/>
        </w:rPr>
        <w:fldChar w:fldCharType="separate"/>
      </w:r>
      <w:r>
        <w:rPr>
          <w:rStyle w:val="10"/>
          <w:rFonts w:ascii="宋体" w:hAnsi="宋体" w:eastAsia="宋体" w:cs="宋体"/>
          <w:color w:val="0000EE"/>
          <w:sz w:val="21"/>
          <w:szCs w:val="21"/>
          <w:lang w:val="zh-CN" w:eastAsia="zh-CN"/>
        </w:rPr>
        <w:t>中华人民共和国民事诉讼法</w:t>
      </w:r>
      <w:r>
        <w:rPr>
          <w:rStyle w:val="10"/>
          <w:rFonts w:ascii="宋体" w:hAnsi="宋体" w:eastAsia="宋体" w:cs="宋体"/>
          <w:color w:val="0000EE"/>
          <w:sz w:val="21"/>
          <w:szCs w:val="21"/>
          <w:lang w:val="zh-CN" w:eastAsia="zh-CN"/>
        </w:rPr>
        <w:fldChar w:fldCharType="end"/>
      </w:r>
      <w:r>
        <w:rPr>
          <w:rFonts w:ascii="宋体" w:hAnsi="宋体" w:eastAsia="宋体" w:cs="宋体"/>
          <w:sz w:val="21"/>
          <w:szCs w:val="21"/>
          <w:lang w:val="zh-CN" w:eastAsia="zh-CN"/>
        </w:rPr>
        <w:t>》（2021年修正）第二百八十九条的规定，人民法院对申请或者请求承认和执行的外国法院作出的发生法律效力的判决、裁定，依照中华人民共和国缔结或者参加的国际条约，或者按照互惠原则进行审查。由于我国与英国之间尚没有缔结或者参加相互承认和执行法院民事判决、裁定的国际条约，故应当以互惠原则作为是否承认英国法院判决的审查依据。</w:t>
      </w:r>
    </w:p>
    <w:p w14:paraId="0B344CD9">
      <w:pPr>
        <w:pStyle w:val="5"/>
        <w:spacing w:before="0" w:after="0" w:line="390" w:lineRule="atLeast"/>
        <w:ind w:left="0" w:right="0"/>
        <w:rPr>
          <w:rFonts w:ascii="宋体" w:hAnsi="宋体" w:eastAsia="宋体" w:cs="宋体"/>
          <w:sz w:val="21"/>
          <w:szCs w:val="21"/>
          <w:lang w:val="zh-CN" w:eastAsia="zh-CN"/>
        </w:rPr>
      </w:pPr>
      <w:r>
        <w:rPr>
          <w:rFonts w:ascii="宋体" w:hAnsi="宋体" w:eastAsia="宋体" w:cs="宋体"/>
          <w:sz w:val="21"/>
          <w:szCs w:val="21"/>
          <w:lang w:val="zh-CN" w:eastAsia="zh-CN"/>
        </w:rPr>
        <w:t>互惠原则是国际私法中平等互利原则的具体体现。我国民事诉讼法并未将互惠原则限定为必须是相关外国法院对我国法院民事判决、裁定先行承认和执行。当然，如果相关外国法院已有对我国法院民事判决、裁定予以承认和执行的先例，自然可以认定我国与该国存在承认和执行民事判决、裁定的事实互惠关系。然而，即便没有承认和执行我国民事判决、裁定的先例，但如果根据作出判决的外国法院所在国的法律，其承认和执行他国法院判决、裁定的条件与我国法律规定的条件实质相同或者更为宽松，则可以认定我国法院作出的民事判决、裁定在同等情形下可以得到该国法院的承认和执行。在此前提下，如果该国法院没有以不存在互惠关系为由拒绝承认和执行我国法院民事判决、裁定先例的，可以认定我国与该国存在法律上的互惠关系。</w:t>
      </w:r>
    </w:p>
    <w:p w14:paraId="1D7C608B">
      <w:pPr>
        <w:pStyle w:val="5"/>
        <w:spacing w:before="0" w:after="0" w:line="390" w:lineRule="atLeast"/>
        <w:ind w:left="0" w:right="0"/>
        <w:rPr>
          <w:rFonts w:ascii="宋体" w:hAnsi="宋体" w:eastAsia="宋体" w:cs="宋体"/>
          <w:sz w:val="21"/>
          <w:szCs w:val="21"/>
          <w:lang w:val="zh-CN" w:eastAsia="zh-CN"/>
        </w:rPr>
      </w:pPr>
      <w:r>
        <w:rPr>
          <w:rFonts w:ascii="宋体" w:hAnsi="宋体" w:eastAsia="宋体" w:cs="宋体"/>
          <w:sz w:val="21"/>
          <w:szCs w:val="21"/>
          <w:lang w:val="zh-CN" w:eastAsia="zh-CN"/>
        </w:rPr>
        <w:t>就本案而言，申请人S航运有限公司未举证英国法院有承认和执行我国法院民事判决、裁定的先例，不能证明我国与英国存在承认和执行民事判决、裁定的事实互惠关系。但是，从英国法院具体操作来看，外国法院的判决、裁定在英国寻求承认和执行时，需按英国的普通法规则，以外国法院的判决、裁定为依据，在英国法院重新提起诉讼；如果符合承认和执行的条件，英国法院将作出一个与原判决基本一致的判决，再按英国法规定的执行程序予以执行。这也是英美法系国家的惯常做法。根据英国法律，其并不以存在相关条约作为承认和执行外国法院判决、裁定的必要条件，并无证据证明我国法院判决、裁定在英国法院承认和执行存在法律障碍，亦未发现英国法院曾以不存在互惠关系为由不予承认和执行我国法院判决、裁定，故可以认定我国与英国存在法律上的互惠关系。案涉英国法院判决并不存在违反我国法律基本原则或者损害我国国家主权、安全、社会公共利益的情形。</w:t>
      </w:r>
    </w:p>
    <w:p w14:paraId="42F2C2EE">
      <w:pPr>
        <w:pStyle w:val="5"/>
        <w:spacing w:before="0" w:after="0" w:line="390" w:lineRule="atLeast"/>
        <w:ind w:left="0" w:right="0"/>
        <w:rPr>
          <w:rFonts w:ascii="宋体" w:hAnsi="宋体" w:eastAsia="宋体" w:cs="宋体"/>
          <w:sz w:val="21"/>
          <w:szCs w:val="21"/>
          <w:lang w:val="zh-CN" w:eastAsia="zh-CN"/>
        </w:rPr>
      </w:pPr>
      <w:r>
        <w:rPr>
          <w:rFonts w:ascii="宋体" w:hAnsi="宋体" w:eastAsia="宋体" w:cs="宋体"/>
          <w:sz w:val="21"/>
          <w:szCs w:val="21"/>
          <w:lang w:val="zh-CN" w:eastAsia="zh-CN"/>
        </w:rPr>
        <w:t>综上，尽管我国与英国没有缔结或者参加相互承认和执行法院民事判决、裁定的国际条约，但本案可以根据互惠原则对案涉英国法院判决予以承认。</w:t>
      </w:r>
    </w:p>
    <w:p w14:paraId="346F7F0E">
      <w:pPr>
        <w:pStyle w:val="5"/>
        <w:spacing w:before="0" w:after="0" w:line="390" w:lineRule="atLeast"/>
        <w:ind w:left="0" w:right="0"/>
        <w:rPr>
          <w:rFonts w:ascii="宋体" w:hAnsi="宋体" w:eastAsia="宋体" w:cs="宋体"/>
          <w:sz w:val="21"/>
          <w:szCs w:val="21"/>
          <w:lang w:val="zh-CN" w:eastAsia="zh-CN"/>
        </w:rPr>
      </w:pPr>
      <w:r>
        <w:rPr>
          <w:rFonts w:ascii="宋体" w:hAnsi="宋体" w:eastAsia="宋体" w:cs="宋体"/>
          <w:sz w:val="21"/>
          <w:szCs w:val="21"/>
          <w:lang w:val="zh-CN" w:eastAsia="zh-CN"/>
        </w:rPr>
        <w:t>本案裁定承认英国法院判决后，英国高等法院于2022年12月对我国浙江杭州法院的两起判决予以承认。</w:t>
      </w:r>
    </w:p>
    <w:p w14:paraId="6EECF5E3">
      <w:pPr>
        <w:pStyle w:val="5"/>
        <w:spacing w:before="0" w:after="0" w:line="390" w:lineRule="atLeast"/>
        <w:ind w:left="0" w:right="0"/>
        <w:rPr>
          <w:rFonts w:ascii="宋体" w:hAnsi="宋体" w:eastAsia="宋体" w:cs="宋体"/>
          <w:sz w:val="21"/>
          <w:szCs w:val="21"/>
          <w:lang w:val="zh-CN" w:eastAsia="zh-CN"/>
        </w:rPr>
      </w:pPr>
      <w:r>
        <w:rPr>
          <w:rStyle w:val="8"/>
          <w:rFonts w:ascii="宋体" w:hAnsi="宋体" w:eastAsia="宋体" w:cs="宋体"/>
          <w:b/>
          <w:bCs/>
          <w:sz w:val="21"/>
          <w:szCs w:val="21"/>
          <w:lang w:val="zh-CN" w:eastAsia="zh-CN"/>
        </w:rPr>
        <w:t>相关法条</w:t>
      </w:r>
    </w:p>
    <w:p w14:paraId="5C36632E">
      <w:pPr>
        <w:pStyle w:val="5"/>
        <w:spacing w:before="0" w:after="0" w:line="390" w:lineRule="atLeast"/>
        <w:ind w:left="0" w:right="0"/>
        <w:rPr>
          <w:rFonts w:ascii="宋体" w:hAnsi="宋体" w:eastAsia="宋体" w:cs="宋体"/>
          <w:sz w:val="21"/>
          <w:szCs w:val="21"/>
          <w:lang w:val="zh-CN" w:eastAsia="zh-CN"/>
        </w:rPr>
      </w:pPr>
      <w:r>
        <w:rPr>
          <w:rFonts w:ascii="宋体" w:hAnsi="宋体" w:eastAsia="宋体" w:cs="宋体"/>
          <w:sz w:val="21"/>
          <w:szCs w:val="21"/>
          <w:lang w:val="zh-CN" w:eastAsia="zh-CN"/>
        </w:rPr>
        <w:t>《</w:t>
      </w:r>
      <w:r>
        <w:rPr>
          <w:rFonts w:ascii="宋体" w:hAnsi="宋体" w:eastAsia="宋体" w:cs="宋体"/>
          <w:sz w:val="21"/>
          <w:szCs w:val="21"/>
          <w:lang w:val="zh-CN" w:eastAsia="zh-CN"/>
        </w:rPr>
        <w:fldChar w:fldCharType="begin"/>
      </w:r>
      <w:r>
        <w:rPr>
          <w:rFonts w:ascii="宋体" w:hAnsi="宋体" w:eastAsia="宋体" w:cs="宋体"/>
          <w:sz w:val="21"/>
          <w:szCs w:val="21"/>
          <w:lang w:val="zh-CN" w:eastAsia="zh-CN"/>
        </w:rPr>
        <w:instrText xml:space="preserve"> HYPERLINK "https://law.wkinfo.com.cn/document/show?title=&amp;bid=&amp;collection=legislation&amp;language=&amp;showType=&amp;aid=MTAxMDAxMjQyNjg%253D" </w:instrText>
      </w:r>
      <w:r>
        <w:rPr>
          <w:rFonts w:ascii="宋体" w:hAnsi="宋体" w:eastAsia="宋体" w:cs="宋体"/>
          <w:sz w:val="21"/>
          <w:szCs w:val="21"/>
          <w:lang w:val="zh-CN" w:eastAsia="zh-CN"/>
        </w:rPr>
        <w:fldChar w:fldCharType="separate"/>
      </w:r>
      <w:r>
        <w:rPr>
          <w:rStyle w:val="10"/>
          <w:rFonts w:ascii="宋体" w:hAnsi="宋体" w:eastAsia="宋体" w:cs="宋体"/>
          <w:color w:val="0000EE"/>
          <w:sz w:val="21"/>
          <w:szCs w:val="21"/>
          <w:lang w:val="zh-CN" w:eastAsia="zh-CN"/>
        </w:rPr>
        <w:t>中华人民共和国民事诉讼法</w:t>
      </w:r>
      <w:r>
        <w:rPr>
          <w:rStyle w:val="10"/>
          <w:rFonts w:ascii="宋体" w:hAnsi="宋体" w:eastAsia="宋体" w:cs="宋体"/>
          <w:color w:val="0000EE"/>
          <w:sz w:val="21"/>
          <w:szCs w:val="21"/>
          <w:lang w:val="zh-CN" w:eastAsia="zh-CN"/>
        </w:rPr>
        <w:fldChar w:fldCharType="end"/>
      </w:r>
      <w:r>
        <w:rPr>
          <w:rFonts w:ascii="宋体" w:hAnsi="宋体" w:eastAsia="宋体" w:cs="宋体"/>
          <w:sz w:val="21"/>
          <w:szCs w:val="21"/>
          <w:lang w:val="zh-CN" w:eastAsia="zh-CN"/>
        </w:rPr>
        <w:t>》第299条（本案适用的是2021年修正的《</w:t>
      </w:r>
      <w:r>
        <w:rPr>
          <w:rFonts w:ascii="宋体" w:hAnsi="宋体" w:eastAsia="宋体" w:cs="宋体"/>
          <w:sz w:val="21"/>
          <w:szCs w:val="21"/>
          <w:lang w:val="zh-CN" w:eastAsia="zh-CN"/>
        </w:rPr>
        <w:fldChar w:fldCharType="begin"/>
      </w:r>
      <w:r>
        <w:rPr>
          <w:rFonts w:ascii="宋体" w:hAnsi="宋体" w:eastAsia="宋体" w:cs="宋体"/>
          <w:sz w:val="21"/>
          <w:szCs w:val="21"/>
          <w:lang w:val="zh-CN" w:eastAsia="zh-CN"/>
        </w:rPr>
        <w:instrText xml:space="preserve"> HYPERLINK "https://law.wkinfo.com.cn/document/show?title=&amp;bid=&amp;collection=legislation&amp;language=&amp;showType=&amp;aid=MTAxMDAxMjQyNjg%253D" </w:instrText>
      </w:r>
      <w:r>
        <w:rPr>
          <w:rFonts w:ascii="宋体" w:hAnsi="宋体" w:eastAsia="宋体" w:cs="宋体"/>
          <w:sz w:val="21"/>
          <w:szCs w:val="21"/>
          <w:lang w:val="zh-CN" w:eastAsia="zh-CN"/>
        </w:rPr>
        <w:fldChar w:fldCharType="separate"/>
      </w:r>
      <w:r>
        <w:rPr>
          <w:rStyle w:val="10"/>
          <w:rFonts w:ascii="宋体" w:hAnsi="宋体" w:eastAsia="宋体" w:cs="宋体"/>
          <w:color w:val="0000EE"/>
          <w:sz w:val="21"/>
          <w:szCs w:val="21"/>
          <w:lang w:val="zh-CN" w:eastAsia="zh-CN"/>
        </w:rPr>
        <w:t>中华人民共和国民事诉讼法</w:t>
      </w:r>
      <w:r>
        <w:rPr>
          <w:rStyle w:val="10"/>
          <w:rFonts w:ascii="宋体" w:hAnsi="宋体" w:eastAsia="宋体" w:cs="宋体"/>
          <w:color w:val="0000EE"/>
          <w:sz w:val="21"/>
          <w:szCs w:val="21"/>
          <w:lang w:val="zh-CN" w:eastAsia="zh-CN"/>
        </w:rPr>
        <w:fldChar w:fldCharType="end"/>
      </w:r>
      <w:r>
        <w:rPr>
          <w:rFonts w:ascii="宋体" w:hAnsi="宋体" w:eastAsia="宋体" w:cs="宋体"/>
          <w:sz w:val="21"/>
          <w:szCs w:val="21"/>
          <w:lang w:val="zh-CN" w:eastAsia="zh-CN"/>
        </w:rPr>
        <w:t>》第289条）</w:t>
      </w:r>
    </w:p>
    <w:p w14:paraId="316C2D1D">
      <w:pPr>
        <w:pStyle w:val="4"/>
        <w:spacing w:before="0" w:after="0" w:line="390" w:lineRule="auto"/>
        <w:ind w:left="0" w:right="0"/>
        <w:jc w:val="center"/>
        <w:rPr>
          <w:rFonts w:ascii="宋体" w:hAnsi="宋体" w:eastAsia="宋体" w:cs="宋体"/>
          <w:sz w:val="21"/>
          <w:szCs w:val="21"/>
          <w:lang w:val="zh-CN" w:eastAsia="zh-CN"/>
        </w:rPr>
      </w:pPr>
      <w:r>
        <w:rPr>
          <w:rFonts w:ascii="宋体" w:hAnsi="宋体" w:eastAsia="宋体" w:cs="宋体"/>
          <w:sz w:val="21"/>
          <w:szCs w:val="21"/>
          <w:lang w:val="zh-CN" w:eastAsia="zh-CN"/>
        </w:rPr>
        <w:drawing>
          <wp:inline distT="0" distB="0" distL="114300" distR="114300">
            <wp:extent cx="1905000" cy="1905000"/>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7"/>
                    <a:stretch>
                      <a:fillRect/>
                    </a:stretch>
                  </pic:blipFill>
                  <pic:spPr>
                    <a:xfrm>
                      <a:off x="0" y="0"/>
                      <a:ext cx="1905000" cy="1905000"/>
                    </a:xfrm>
                    <a:prstGeom prst="rect">
                      <a:avLst/>
                    </a:prstGeom>
                    <a:noFill/>
                    <a:ln>
                      <a:noFill/>
                    </a:ln>
                  </pic:spPr>
                </pic:pic>
              </a:graphicData>
            </a:graphic>
          </wp:inline>
        </w:drawing>
      </w:r>
    </w:p>
    <w:p w14:paraId="1BED9AD6">
      <w:pPr>
        <w:pStyle w:val="11"/>
        <w:pBdr>
          <w:top w:val="none" w:color="auto" w:sz="0" w:space="0"/>
          <w:left w:val="none" w:color="auto" w:sz="0" w:space="0"/>
          <w:bottom w:val="none" w:color="auto" w:sz="0" w:space="0"/>
          <w:right w:val="none" w:color="auto" w:sz="0" w:space="0"/>
        </w:pBdr>
        <w:spacing w:before="0" w:after="0" w:line="390" w:lineRule="atLeast"/>
        <w:ind w:left="0" w:right="0"/>
        <w:jc w:val="center"/>
        <w:textAlignment w:val="center"/>
        <w:rPr>
          <w:rFonts w:ascii="宋体" w:hAnsi="宋体" w:eastAsia="宋体" w:cs="宋体"/>
          <w:sz w:val="21"/>
          <w:szCs w:val="21"/>
          <w:lang w:val="zh-CN" w:eastAsia="zh-CN"/>
        </w:rPr>
      </w:pPr>
      <w:r>
        <w:rPr>
          <w:rFonts w:ascii="宋体" w:hAnsi="宋体" w:eastAsia="宋体" w:cs="宋体"/>
          <w:sz w:val="21"/>
          <w:szCs w:val="21"/>
          <w:lang w:val="zh-CN" w:eastAsia="zh-CN"/>
        </w:rPr>
        <w:t>扫一扫，手机阅读更方便</w:t>
      </w:r>
    </w:p>
    <w:p w14:paraId="00E2EA64">
      <w:pPr>
        <w:spacing w:before="0" w:after="0" w:line="390" w:lineRule="atLeast"/>
        <w:ind w:left="0"/>
      </w:pPr>
    </w:p>
    <w:sectPr>
      <w:footerReference r:id="rId5" w:type="first"/>
      <w:headerReference r:id="rId3" w:type="default"/>
      <w:footerReference r:id="rId4" w:type="default"/>
      <w:pgSz w:w="11906" w:h="16838"/>
      <w:pgMar w:top="1440" w:right="1083" w:bottom="1440" w:left="1083" w:header="820" w:footer="36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
      <w:tblW w:w="0" w:type="auto"/>
      <w:jc w:val="center"/>
      <w:tblLayout w:type="fixed"/>
      <w:tblCellMar>
        <w:top w:w="0" w:type="dxa"/>
        <w:left w:w="108" w:type="dxa"/>
        <w:bottom w:w="0" w:type="dxa"/>
        <w:right w:w="108" w:type="dxa"/>
      </w:tblCellMar>
    </w:tblPr>
    <w:tblGrid>
      <w:gridCol w:w="4870"/>
      <w:gridCol w:w="4870"/>
    </w:tblGrid>
    <w:tr w14:paraId="5E0D248C">
      <w:tblPrEx>
        <w:tblCellMar>
          <w:top w:w="0" w:type="dxa"/>
          <w:left w:w="108" w:type="dxa"/>
          <w:bottom w:w="0" w:type="dxa"/>
          <w:right w:w="108" w:type="dxa"/>
        </w:tblCellMar>
      </w:tblPrEx>
      <w:trPr>
        <w:wBefore w:w="0" w:type="dxa"/>
        <w:wAfter w:w="0" w:type="dxa"/>
        <w:jc w:val="center"/>
      </w:trPr>
      <w:tc>
        <w:tcPr>
          <w:tcW w:w="4870" w:type="dxa"/>
          <w:shd w:val="clear" w:color="auto" w:fill="FFFFFF"/>
          <w:noWrap w:val="0"/>
          <w:tcMar>
            <w:top w:w="0" w:type="dxa"/>
            <w:left w:w="0" w:type="dxa"/>
            <w:bottom w:w="0" w:type="dxa"/>
            <w:right w:w="0" w:type="dxa"/>
          </w:tcMar>
          <w:vAlign w:val="center"/>
        </w:tcPr>
        <w:p w14:paraId="158BA310">
          <w:pPr>
            <w:rPr>
              <w:sz w:val="24"/>
              <w:szCs w:val="24"/>
              <w:lang w:val="en-US" w:eastAsia="en-US" w:bidi="ar-SA"/>
            </w:rPr>
          </w:pPr>
        </w:p>
        <w:p w14:paraId="6B75E930">
          <w:pPr>
            <w:rPr>
              <w:sz w:val="24"/>
              <w:szCs w:val="24"/>
              <w:lang w:val="en-US" w:eastAsia="en-US" w:bidi="ar-SA"/>
            </w:rPr>
          </w:pPr>
          <w:r>
            <w:drawing>
              <wp:inline distT="0" distB="0" distL="114300" distR="114300">
                <wp:extent cx="2247900" cy="1651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
                        <a:stretch>
                          <a:fillRect/>
                        </a:stretch>
                      </pic:blipFill>
                      <pic:spPr>
                        <a:xfrm>
                          <a:off x="0" y="0"/>
                          <a:ext cx="2247900" cy="165100"/>
                        </a:xfrm>
                        <a:prstGeom prst="rect">
                          <a:avLst/>
                        </a:prstGeom>
                        <a:noFill/>
                        <a:ln>
                          <a:noFill/>
                        </a:ln>
                      </pic:spPr>
                    </pic:pic>
                  </a:graphicData>
                </a:graphic>
              </wp:inline>
            </w:drawing>
          </w:r>
        </w:p>
      </w:tc>
      <w:tc>
        <w:tcPr>
          <w:tcW w:w="4870" w:type="dxa"/>
          <w:shd w:val="clear" w:color="auto" w:fill="FFFFFF"/>
          <w:noWrap w:val="0"/>
          <w:tcMar>
            <w:top w:w="0" w:type="dxa"/>
            <w:left w:w="0" w:type="dxa"/>
            <w:bottom w:w="0" w:type="dxa"/>
            <w:right w:w="0" w:type="dxa"/>
          </w:tcMar>
          <w:vAlign w:val="center"/>
        </w:tcPr>
        <w:p w14:paraId="5E416527">
          <w:pPr>
            <w:rPr>
              <w:sz w:val="18"/>
              <w:szCs w:val="24"/>
              <w:lang w:val="en-US" w:eastAsia="en-US" w:bidi="ar-SA"/>
            </w:rPr>
          </w:pPr>
        </w:p>
        <w:p w14:paraId="2BC17439">
          <w:pPr>
            <w:jc w:val="right"/>
            <w:rPr>
              <w:sz w:val="18"/>
              <w:szCs w:val="24"/>
              <w:lang w:val="en-US" w:eastAsia="en-US" w:bidi="ar-SA"/>
            </w:rPr>
          </w:pPr>
          <w:r>
            <w:rPr>
              <w:sz w:val="18"/>
            </w:rPr>
            <w:fldChar w:fldCharType="begin"/>
          </w:r>
          <w:r>
            <w:rPr>
              <w:sz w:val="18"/>
              <w:szCs w:val="24"/>
              <w:lang w:val="en-US" w:eastAsia="en-US" w:bidi="ar-SA"/>
            </w:rPr>
            <w:instrText xml:space="preserve">PAGE</w:instrText>
          </w:r>
          <w:r>
            <w:rPr>
              <w:sz w:val="18"/>
            </w:rPr>
            <w:fldChar w:fldCharType="separate"/>
          </w:r>
          <w:r>
            <w:rPr>
              <w:sz w:val="18"/>
            </w:rPr>
            <w:fldChar w:fldCharType="end"/>
          </w:r>
          <w:r>
            <w:rPr>
              <w:sz w:val="18"/>
              <w:szCs w:val="24"/>
              <w:lang w:val="en-US" w:eastAsia="en-US" w:bidi="ar-SA"/>
            </w:rPr>
            <w:t>/</w:t>
          </w:r>
          <w:r>
            <w:rPr>
              <w:sz w:val="18"/>
            </w:rPr>
            <w:fldChar w:fldCharType="begin"/>
          </w:r>
          <w:r>
            <w:rPr>
              <w:sz w:val="18"/>
              <w:szCs w:val="24"/>
              <w:lang w:val="en-US" w:eastAsia="en-US" w:bidi="ar-SA"/>
            </w:rPr>
            <w:instrText xml:space="preserve">NUMPAGES</w:instrText>
          </w:r>
          <w:r>
            <w:rPr>
              <w:sz w:val="18"/>
            </w:rPr>
            <w:fldChar w:fldCharType="separate"/>
          </w:r>
          <w:r>
            <w:rPr>
              <w:sz w:val="18"/>
            </w:rPr>
            <w:fldChar w:fldCharType="end"/>
          </w:r>
        </w:p>
      </w:tc>
    </w:tr>
  </w:tbl>
  <w:p w14:paraId="7499197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
      <w:tblW w:w="0" w:type="auto"/>
      <w:jc w:val="center"/>
      <w:tblLayout w:type="fixed"/>
      <w:tblCellMar>
        <w:top w:w="0" w:type="dxa"/>
        <w:left w:w="108" w:type="dxa"/>
        <w:bottom w:w="0" w:type="dxa"/>
        <w:right w:w="108" w:type="dxa"/>
      </w:tblCellMar>
    </w:tblPr>
    <w:tblGrid>
      <w:gridCol w:w="4870"/>
      <w:gridCol w:w="4870"/>
    </w:tblGrid>
    <w:tr w14:paraId="6C3604E0">
      <w:tblPrEx>
        <w:tblCellMar>
          <w:top w:w="0" w:type="dxa"/>
          <w:left w:w="108" w:type="dxa"/>
          <w:bottom w:w="0" w:type="dxa"/>
          <w:right w:w="108" w:type="dxa"/>
        </w:tblCellMar>
      </w:tblPrEx>
      <w:trPr>
        <w:wBefore w:w="0" w:type="dxa"/>
        <w:wAfter w:w="0" w:type="dxa"/>
        <w:jc w:val="center"/>
      </w:trPr>
      <w:tc>
        <w:tcPr>
          <w:tcW w:w="4870" w:type="dxa"/>
          <w:shd w:val="clear" w:color="auto" w:fill="FFFFFF"/>
          <w:noWrap w:val="0"/>
          <w:tcMar>
            <w:top w:w="0" w:type="dxa"/>
            <w:left w:w="0" w:type="dxa"/>
            <w:bottom w:w="0" w:type="dxa"/>
            <w:right w:w="0" w:type="dxa"/>
          </w:tcMar>
          <w:vAlign w:val="center"/>
        </w:tcPr>
        <w:p w14:paraId="547BB0FC">
          <w:pPr>
            <w:rPr>
              <w:sz w:val="24"/>
              <w:szCs w:val="24"/>
              <w:lang w:val="en-US" w:eastAsia="en-US" w:bidi="ar-SA"/>
            </w:rPr>
          </w:pPr>
        </w:p>
        <w:p w14:paraId="2ED61A04">
          <w:pPr>
            <w:rPr>
              <w:sz w:val="24"/>
              <w:szCs w:val="24"/>
              <w:lang w:val="en-US" w:eastAsia="en-US" w:bidi="ar-SA"/>
            </w:rPr>
          </w:pPr>
          <w:r>
            <w:drawing>
              <wp:inline distT="0" distB="0" distL="114300" distR="114300">
                <wp:extent cx="2247900" cy="16510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
                        <a:stretch>
                          <a:fillRect/>
                        </a:stretch>
                      </pic:blipFill>
                      <pic:spPr>
                        <a:xfrm>
                          <a:off x="0" y="0"/>
                          <a:ext cx="2247900" cy="165100"/>
                        </a:xfrm>
                        <a:prstGeom prst="rect">
                          <a:avLst/>
                        </a:prstGeom>
                        <a:noFill/>
                        <a:ln>
                          <a:noFill/>
                        </a:ln>
                      </pic:spPr>
                    </pic:pic>
                  </a:graphicData>
                </a:graphic>
              </wp:inline>
            </w:drawing>
          </w:r>
        </w:p>
      </w:tc>
      <w:tc>
        <w:tcPr>
          <w:tcW w:w="4870" w:type="dxa"/>
          <w:shd w:val="clear" w:color="auto" w:fill="FFFFFF"/>
          <w:noWrap w:val="0"/>
          <w:tcMar>
            <w:top w:w="0" w:type="dxa"/>
            <w:left w:w="0" w:type="dxa"/>
            <w:bottom w:w="0" w:type="dxa"/>
            <w:right w:w="0" w:type="dxa"/>
          </w:tcMar>
          <w:vAlign w:val="center"/>
        </w:tcPr>
        <w:p w14:paraId="37625EEF">
          <w:pPr>
            <w:rPr>
              <w:sz w:val="18"/>
              <w:szCs w:val="24"/>
              <w:lang w:val="en-US" w:eastAsia="en-US" w:bidi="ar-SA"/>
            </w:rPr>
          </w:pPr>
        </w:p>
        <w:p w14:paraId="60D9940E">
          <w:pPr>
            <w:jc w:val="right"/>
            <w:rPr>
              <w:sz w:val="18"/>
              <w:szCs w:val="24"/>
              <w:lang w:val="en-US" w:eastAsia="en-US" w:bidi="ar-SA"/>
            </w:rPr>
          </w:pPr>
          <w:r>
            <w:rPr>
              <w:sz w:val="18"/>
            </w:rPr>
            <w:fldChar w:fldCharType="begin"/>
          </w:r>
          <w:r>
            <w:rPr>
              <w:sz w:val="18"/>
              <w:szCs w:val="24"/>
              <w:lang w:val="en-US" w:eastAsia="en-US" w:bidi="ar-SA"/>
            </w:rPr>
            <w:instrText xml:space="preserve">PAGE</w:instrText>
          </w:r>
          <w:r>
            <w:rPr>
              <w:sz w:val="18"/>
            </w:rPr>
            <w:fldChar w:fldCharType="separate"/>
          </w:r>
          <w:r>
            <w:rPr>
              <w:sz w:val="18"/>
            </w:rPr>
            <w:fldChar w:fldCharType="end"/>
          </w:r>
          <w:r>
            <w:rPr>
              <w:sz w:val="18"/>
              <w:szCs w:val="24"/>
              <w:lang w:val="en-US" w:eastAsia="en-US" w:bidi="ar-SA"/>
            </w:rPr>
            <w:t>/</w:t>
          </w:r>
          <w:r>
            <w:rPr>
              <w:sz w:val="18"/>
            </w:rPr>
            <w:fldChar w:fldCharType="begin"/>
          </w:r>
          <w:r>
            <w:rPr>
              <w:sz w:val="18"/>
              <w:szCs w:val="24"/>
              <w:lang w:val="en-US" w:eastAsia="en-US" w:bidi="ar-SA"/>
            </w:rPr>
            <w:instrText xml:space="preserve">NUMPAGES</w:instrText>
          </w:r>
          <w:r>
            <w:rPr>
              <w:sz w:val="18"/>
            </w:rPr>
            <w:fldChar w:fldCharType="separate"/>
          </w:r>
          <w:r>
            <w:rPr>
              <w:sz w:val="18"/>
            </w:rPr>
            <w:fldChar w:fldCharType="end"/>
          </w:r>
        </w:p>
      </w:tc>
    </w:tr>
  </w:tbl>
  <w:p w14:paraId="4F4AB313"/>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
      <w:tblW w:w="0" w:type="auto"/>
      <w:tblInd w:w="0" w:type="dxa"/>
      <w:tblLayout w:type="fixed"/>
      <w:tblCellMar>
        <w:top w:w="0" w:type="dxa"/>
        <w:left w:w="108" w:type="dxa"/>
        <w:bottom w:w="0" w:type="dxa"/>
        <w:right w:w="108" w:type="dxa"/>
      </w:tblCellMar>
    </w:tblPr>
    <w:tblGrid>
      <w:gridCol w:w="9740"/>
    </w:tblGrid>
    <w:tr w14:paraId="3A497245">
      <w:tblPrEx>
        <w:tblCellMar>
          <w:top w:w="0" w:type="dxa"/>
          <w:left w:w="108" w:type="dxa"/>
          <w:bottom w:w="0" w:type="dxa"/>
          <w:right w:w="108" w:type="dxa"/>
        </w:tblCellMar>
      </w:tblPrEx>
      <w:trPr>
        <w:wBefore w:w="0" w:type="dxa"/>
        <w:wAfter w:w="0" w:type="dxa"/>
      </w:trPr>
      <w:tc>
        <w:tcPr>
          <w:tcW w:w="9740" w:type="dxa"/>
          <w:shd w:val="clear" w:color="auto" w:fill="FFFFFF"/>
          <w:noWrap w:val="0"/>
          <w:tcMar>
            <w:top w:w="0" w:type="dxa"/>
            <w:left w:w="0" w:type="dxa"/>
            <w:bottom w:w="0" w:type="dxa"/>
            <w:right w:w="0" w:type="dxa"/>
          </w:tcMar>
          <w:vAlign w:val="top"/>
        </w:tcPr>
        <w:p w14:paraId="5F073D50">
          <w:pPr>
            <w:keepNext/>
            <w:widowControl/>
            <w:pBdr>
              <w:bottom w:val="single" w:color="808080" w:sz="4" w:space="0"/>
            </w:pBdr>
            <w:spacing w:line="280" w:lineRule="auto"/>
            <w:jc w:val="center"/>
            <w:rPr>
              <w:rFonts w:ascii="宋体" w:hAnsi="宋体" w:eastAsia="宋体" w:cs="宋体"/>
              <w:sz w:val="18"/>
              <w:szCs w:val="24"/>
              <w:lang w:val="en-US" w:eastAsia="en-US" w:bidi="ar-SA"/>
            </w:rPr>
          </w:pPr>
          <w:r>
            <w:rPr>
              <w:rFonts w:ascii="宋体" w:hAnsi="宋体" w:eastAsia="宋体" w:cs="宋体"/>
              <w:sz w:val="18"/>
              <w:szCs w:val="24"/>
              <w:lang w:val="en-US" w:eastAsia="en-US" w:bidi="ar-SA"/>
            </w:rPr>
            <w:t>S航运有限公司申请承认外国法院民事判决案——最高人民法院发布第四十一批指导性案例之六【指导性案例235号】</w:t>
          </w:r>
        </w:p>
      </w:tc>
    </w:tr>
  </w:tbl>
  <w:p w14:paraId="6BF941F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A77B3E"/>
    <w:rsid w:val="00CA2A55"/>
    <w:rsid w:val="686923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character" w:default="1" w:styleId="3">
    <w:name w:val="Default Paragraph Font"/>
    <w:semiHidden/>
    <w:uiPriority w:val="0"/>
  </w:style>
  <w:style w:type="table" w:default="1" w:styleId="2">
    <w:name w:val="Normal Table"/>
    <w:semiHidden/>
    <w:uiPriority w:val="0"/>
    <w:tblPr>
      <w:tblStyle w:val="2"/>
      <w:tblCellMar>
        <w:top w:w="0" w:type="dxa"/>
        <w:left w:w="108" w:type="dxa"/>
        <w:bottom w:w="0" w:type="dxa"/>
        <w:right w:w="108" w:type="dxa"/>
      </w:tblCellMar>
    </w:tblPr>
    <w:trPr>
      <w:wBefore w:w="0" w:type="dxa"/>
    </w:trPr>
  </w:style>
  <w:style w:type="paragraph" w:customStyle="1" w:styleId="4">
    <w:name w:val="div"/>
    <w:basedOn w:val="1"/>
    <w:uiPriority w:val="0"/>
    <w:pPr>
      <w:pBdr>
        <w:top w:val="none" w:color="auto" w:sz="0" w:space="0"/>
        <w:left w:val="none" w:color="auto" w:sz="0" w:space="0"/>
        <w:bottom w:val="none" w:color="auto" w:sz="0" w:space="0"/>
        <w:right w:val="none" w:color="auto" w:sz="0" w:space="0"/>
      </w:pBdr>
    </w:pPr>
  </w:style>
  <w:style w:type="paragraph" w:customStyle="1" w:styleId="5">
    <w:name w:val="p"/>
    <w:basedOn w:val="1"/>
    <w:uiPriority w:val="0"/>
    <w:pPr>
      <w:pBdr>
        <w:top w:val="none" w:color="auto" w:sz="0" w:space="0"/>
        <w:left w:val="none" w:color="auto" w:sz="0" w:space="0"/>
        <w:bottom w:val="none" w:color="auto" w:sz="0" w:space="0"/>
        <w:right w:val="none" w:color="auto" w:sz="0" w:space="0"/>
      </w:pBdr>
      <w:spacing w:line="390" w:lineRule="atLeast"/>
      <w:ind w:firstLine="420"/>
      <w:textAlignment w:val="center"/>
    </w:pPr>
  </w:style>
  <w:style w:type="paragraph" w:customStyle="1" w:styleId="6">
    <w:name w:val="biao"/>
    <w:basedOn w:val="1"/>
    <w:uiPriority w:val="0"/>
    <w:pPr>
      <w:spacing w:line="820" w:lineRule="atLeast"/>
      <w:jc w:val="center"/>
    </w:pPr>
    <w:rPr>
      <w:sz w:val="32"/>
      <w:szCs w:val="32"/>
    </w:rPr>
  </w:style>
  <w:style w:type="character" w:customStyle="1" w:styleId="7">
    <w:name w:val="biao_contentlink"/>
    <w:basedOn w:val="3"/>
    <w:uiPriority w:val="0"/>
    <w:rPr>
      <w:color w:val="232323"/>
      <w:sz w:val="32"/>
      <w:szCs w:val="32"/>
    </w:rPr>
  </w:style>
  <w:style w:type="character" w:customStyle="1" w:styleId="8">
    <w:name w:val="any"/>
    <w:basedOn w:val="3"/>
    <w:uiPriority w:val="0"/>
  </w:style>
  <w:style w:type="table" w:customStyle="1" w:styleId="9">
    <w:name w:val="metabl"/>
    <w:basedOn w:val="2"/>
    <w:uiPriority w:val="0"/>
    <w:tblPr>
      <w:tblStyle w:val="2"/>
    </w:tblPr>
  </w:style>
  <w:style w:type="character" w:customStyle="1" w:styleId="10">
    <w:name w:val="a"/>
    <w:basedOn w:val="3"/>
    <w:uiPriority w:val="0"/>
  </w:style>
  <w:style w:type="paragraph" w:customStyle="1" w:styleId="11">
    <w:name w:val="qrCodeDiv_p"/>
    <w:basedOn w:val="1"/>
    <w:uiPriority w:val="0"/>
    <w:pPr>
      <w:ind w:firstLine="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3</Pages>
  <Words>2099</Words>
  <Characters>2262</Characters>
  <Lines>1</Lines>
  <Paragraphs>1</Paragraphs>
  <TotalTime>0</TotalTime>
  <ScaleCrop>false</ScaleCrop>
  <LinksUpToDate>false</LinksUpToDate>
  <CharactersWithSpaces>2268</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2025-08-23T07:36:02Z</dcterms:created>
  <dc:creator>怕锤子</dc:creator>
  <cp:lastModifiedBy>怕锤子</cp:lastModifiedBy>
  <dcterms:modified xsi:type="dcterms:W3CDTF">2025-08-23T07:36:44Z</dcterms:modified>
  <dc:title>S航运有限公司申请承认外国法院民事判决案——最高人民法院发布第四十一批指导性案例之六【指导性案例235号】</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EDC0354CD1304E38AC429A16DD20060D_13</vt:lpwstr>
  </property>
</Properties>
</file>