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Atlas Industries SARL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Casablanca, Maroc — ICE : 001234567000089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GUIDE D'ONBOARDING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Réf. : GDE-ONB-2026</w:t>
            </w:r>
          </w:p>
        </w:tc>
      </w:tr>
    </w:tbl>
    <w:p>
      <w:pPr>
        <w:pStyle w:val="Heading1"/>
      </w:pPr>
      <w:r>
        <w:t xml:space="preserve">GUIDE D'INTÉGRATION (ONBOARDING) DU NOUVEAU COLLABORATEUR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(Procédure interne RH)</w:t>
      </w:r>
    </w:p>
    <w:p>
      <w:pPr>
        <w:pBdr>
          <w:bottom w:val="single" w:color="D9D9D9" w:sz="4" w:space="4"/>
        </w:pBdr>
        <w:spacing w:after="80" w:before="0"/>
      </w:pPr>
      <w:r>
        <w:rPr>
          <w:b/>
          <w:bCs/>
          <w:color w:val="999999"/>
          <w:sz w:val="16"/>
          <w:szCs w:val="16"/>
        </w:rPr>
        <w:t xml:space="preserve">Métadonnées KB (prisma/handbook.ts)</w:t>
      </w:r>
    </w:p>
    <w:p>
      <w:pPr>
        <w:spacing w:after="30"/>
      </w:pPr>
      <w:r>
        <w:rPr>
          <w:b/>
          <w:bCs/>
          <w:color w:val="808080"/>
          <w:sz w:val="16"/>
          <w:szCs w:val="16"/>
        </w:rPr>
        <w:t xml:space="preserve">Slug : </w:t>
      </w:r>
      <w:r>
        <w:rPr>
          <w:color w:val="808080"/>
          <w:sz w:val="16"/>
          <w:szCs w:val="16"/>
        </w:rPr>
        <w:t xml:space="preserve">guide-onboarding</w:t>
      </w:r>
    </w:p>
    <w:p>
      <w:pPr>
        <w:spacing w:after="30"/>
      </w:pPr>
      <w:r>
        <w:rPr>
          <w:b/>
          <w:bCs/>
          <w:color w:val="808080"/>
          <w:sz w:val="16"/>
          <w:szCs w:val="16"/>
        </w:rPr>
        <w:t xml:space="preserve">Collection : </w:t>
      </w:r>
      <w:r>
        <w:rPr>
          <w:color w:val="808080"/>
          <w:sz w:val="16"/>
          <w:szCs w:val="16"/>
        </w:rPr>
        <w:t xml:space="preserve">politiques-rh (à confirmer)</w:t>
      </w:r>
    </w:p>
    <w:p>
      <w:pPr>
        <w:spacing w:after="30"/>
      </w:pPr>
      <w:r>
        <w:rPr>
          <w:b/>
          <w:bCs/>
          <w:color w:val="808080"/>
          <w:sz w:val="16"/>
          <w:szCs w:val="16"/>
        </w:rPr>
        <w:t xml:space="preserve">Visibility : </w:t>
      </w:r>
      <w:r>
        <w:rPr>
          <w:color w:val="808080"/>
          <w:sz w:val="16"/>
          <w:szCs w:val="16"/>
        </w:rPr>
        <w:t xml:space="preserve">ALL_EMPLOYEES</w:t>
      </w:r>
    </w:p>
    <w:p>
      <w:pPr>
        <w:spacing w:after="30"/>
      </w:pPr>
      <w:r>
        <w:rPr>
          <w:b/>
          <w:bCs/>
          <w:color w:val="808080"/>
          <w:sz w:val="16"/>
          <w:szCs w:val="16"/>
        </w:rPr>
        <w:t xml:space="preserve">Status : </w:t>
      </w:r>
      <w:r>
        <w:rPr>
          <w:color w:val="808080"/>
          <w:sz w:val="16"/>
          <w:szCs w:val="16"/>
        </w:rPr>
        <w:t xml:space="preserve">DRAFT — ⚠️ ne pas publier avant validation</w:t>
      </w:r>
    </w:p>
    <w:p>
      <w:pPr>
        <w:spacing w:after="30"/>
      </w:pPr>
      <w:r>
        <w:rPr>
          <w:b/>
          <w:bCs/>
          <w:color w:val="808080"/>
          <w:sz w:val="16"/>
          <w:szCs w:val="16"/>
        </w:rPr>
        <w:t xml:space="preserve">Tags : </w:t>
      </w:r>
      <w:r>
        <w:rPr>
          <w:color w:val="808080"/>
          <w:sz w:val="16"/>
          <w:szCs w:val="16"/>
        </w:rPr>
        <w:t xml:space="preserve">onboarding, nouvel-arrivant</w:t>
      </w:r>
    </w:p>
    <w:p>
      <w:pPr>
        <w:spacing w:after="160"/>
      </w:pPr>
    </w:p>
    <w:p>
      <w:pPr>
        <w:pStyle w:val="Heading2"/>
      </w:pPr>
      <w:r>
        <w:t xml:space="preserve">Article 1 — Avant l'arrivée</w:t>
      </w:r>
    </w:p>
    <w:p>
      <w:pPr>
        <w:spacing w:after="160"/>
      </w:pPr>
      <w:r>
        <w:t xml:space="preserve">Le service RH envoie au nouveau collaborateur, une semaine avant sa prise de poste : le contrat signé, le livret d'accueil, la liste des documents administratifs à apporter (CIN, RIB, photos) et un planning de la première semaine.</w:t>
      </w:r>
    </w:p>
    <w:p>
      <w:pPr>
        <w:pStyle w:val="Heading2"/>
      </w:pPr>
      <w:r>
        <w:t xml:space="preserve">Article 2 — Jour de l'arrivée</w:t>
      </w:r>
    </w:p>
    <w:p>
      <w:pPr>
        <w:spacing w:after="160"/>
      </w:pPr>
      <w:r>
        <w:t xml:space="preserve">Le premier jour comprend : l'accueil par le manager, la remise du matériel informatique, la création des accès (badge, messagerie, outils internes), et un point avec le service RH pour finaliser le dossier administratif.</w:t>
      </w:r>
    </w:p>
    <w:p>
      <w:pPr>
        <w:pStyle w:val="Heading2"/>
      </w:pPr>
      <w:r>
        <w:t xml:space="preserve">Article 3 — Première semaine</w:t>
      </w:r>
    </w:p>
    <w:p>
      <w:pPr>
        <w:spacing w:after="160"/>
      </w:pPr>
      <w:r>
        <w:t xml:space="preserve">Le nouveau collaborateur suit un parcours de découverte : présentation de l'équipe, des outils principaux, des process internes, et un point de suivi à J+5 avec son manager.</w:t>
      </w:r>
    </w:p>
    <w:p>
      <w:pPr>
        <w:pStyle w:val="Heading2"/>
      </w:pPr>
      <w:r>
        <w:t xml:space="preserve">Article 4 — Premier mois</w:t>
      </w:r>
    </w:p>
    <w:p>
      <w:pPr>
        <w:spacing w:after="160"/>
      </w:pPr>
      <w:r>
        <w:t xml:space="preserve">Un point d'intégration formel est organisé à 30 jours pour faire le bilan, lever les questions et ajuster les objectifs si nécessaire. La période d'essai fait l'objet d'un suivi régulier.</w:t>
      </w:r>
    </w:p>
    <w:p>
      <w:pPr>
        <w:pStyle w:val="Heading2"/>
      </w:pPr>
      <w:r>
        <w:t xml:space="preserve">Article 5 — Interlocuteurs clés</w:t>
      </w:r>
    </w:p>
    <w:p>
      <w:pPr>
        <w:spacing w:after="160"/>
      </w:pPr>
      <w:r>
        <w:t xml:space="preserve">Le nouveau collaborateur dispose d'un référent RH dédié et d'un parrain/mentor au sein de son équipe pour faciliter son intégration durant les 3 premiers mois.</w:t>
      </w:r>
    </w:p>
    <w:p>
      <w:pPr>
        <w:pStyle w:val="Heading2"/>
      </w:pPr>
      <w:r>
        <w:t xml:space="preserve">Article 6 — Ressources utiles</w:t>
      </w:r>
    </w:p>
    <w:p>
      <w:pPr>
        <w:spacing w:after="160"/>
      </w:pPr>
      <w:r>
        <w:t xml:space="preserve">Le livret d'accueil, la charte informatique, le règlement intérieur et l'annuaire interne sont disponibles dès le premier jour sur l'espace RH digital.</w:t>
      </w:r>
    </w:p>
    <w:p>
      <w:pPr>
        <w:spacing w:after="200" w:before="200"/>
      </w:pPr>
      <w:r>
        <w:t xml:space="preserve">Fait à Casablanca, le {{DATE_EDITION}}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Pour la société Atlas Industries SARL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Le(La) Directeur(trice) des Ressources Humaines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Nom, Prénom : 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Date : 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Signature : ___________________________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Direction Générale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(Visé pour diffusion)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Nom, Prénom : 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Date : 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Signature : ___________________________</w:t>
            </w:r>
          </w:p>
        </w:tc>
      </w:tr>
    </w:tbl>
    <w:p>
      <w:pPr>
        <w:spacing w:before="280"/>
        <w:jc w:val="center"/>
      </w:pPr>
      <w:r>
        <w:rPr>
          <w:color w:val="808080"/>
          <w:sz w:val="16"/>
          <w:szCs w:val="16"/>
        </w:rPr>
        <w:t xml:space="preserve">Guide d'intégration (onboarding) — Confidentiel     Page  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00"/>
      <w:jc w:val="center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2026-06-28T15:41:55.804Z</dcterms:created>
  <dcterms:modified xsi:type="dcterms:W3CDTF">2026-06-28T15:41:55.804Z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