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电工标准化虚拟仿真培训体系OGSM分解</w:t>
      </w:r>
    </w:p>
    <w:p>
      <w:r>
        <w:rPr>
          <w:color w:val="555555"/>
        </w:rPr>
        <w:t>Word大纲版｜用于评审、汇报及后续导入/复制到思维导图工具</w:t>
      </w:r>
    </w:p>
    <w:p>
      <w:r>
        <w:rPr>
          <w:b/>
        </w:rPr>
        <w:t>使用说明：</w:t>
      </w:r>
      <w:r>
        <w:t>本文按“层层分解型OGSM”组织。主线为 O → SMART G → S → M；其中上一层的 S 可以作为下一层 O，上一层的 M 可以作为下一层 G 继续展开。课程大纲放在“搭建标准化课程体系”的交付物下。</w:t>
      </w:r>
    </w:p>
    <w:p>
      <w:pPr>
        <w:pStyle w:val="Heading1"/>
      </w:pPr>
      <w:r>
        <w:t>O：总体目的</w:t>
      </w:r>
    </w:p>
    <w:p>
      <w:r>
        <w:t>建设电工标准化虚拟仿真培训体系，帮助新员工掌握公司统一接线标准，提升标准化接线能力，降低现场接线错误和返工风险。</w:t>
      </w:r>
    </w:p>
    <w:p>
      <w:pPr>
        <w:pStyle w:val="Heading2"/>
      </w:pPr>
      <w:r>
        <w:t>G：SMART目标</w:t>
      </w:r>
    </w:p>
    <w:p>
      <w:r>
        <w:t>新员工在入职30天内完成电工标准化虚拟仿真培训认证，理论考核≥90分，实操一次通过率≥85%，标准接线错误率≤5%，关键安全错误为0。</w:t>
      </w:r>
    </w:p>
    <w:p>
      <w:pPr>
        <w:pStyle w:val="Heading2"/>
      </w:pPr>
      <w:r>
        <w:t>S1：搭建标准化课程体系</w:t>
      </w:r>
    </w:p>
    <w:p>
      <w:pPr>
        <w:pStyle w:val="Heading3"/>
      </w:pPr>
      <w:r>
        <w:t>M1：完成覆盖公司标准、基础认知、原理理解、仿真实操、考核复训的课程体系，课程覆盖率达到100%。</w:t>
      </w:r>
    </w:p>
    <w:p>
      <w:pPr>
        <w:pStyle w:val="Heading3"/>
      </w:pPr>
      <w:r>
        <w:t>O1：搭建标准化课程体系</w:t>
      </w:r>
    </w:p>
    <w:p>
      <w:pPr>
        <w:pStyle w:val="Heading4"/>
      </w:pPr>
      <w:r>
        <w:t>G1：在培训上线前完成5类课程模块建设，覆盖公司标准接线规范、电气基础、典型电路、传感器接入、考核复训，课程覆盖率达到100%。</w:t>
      </w:r>
    </w:p>
    <w:p>
      <w:pPr>
        <w:pStyle w:val="Heading4"/>
      </w:pPr>
      <w:r>
        <w:t>S1.1：设计课程大纲</w:t>
      </w:r>
    </w:p>
    <w:p>
      <w:pPr>
        <w:pStyle w:val="Heading4"/>
      </w:pPr>
      <w:r>
        <w:t>M1.1：输出完整课程大纲</w:t>
      </w:r>
    </w:p>
    <w:p>
      <w:pPr>
        <w:pStyle w:val="Heading4"/>
      </w:pPr>
      <w:r>
        <w:t>模块1：公司标准与基础认知</w:t>
      </w:r>
    </w:p>
    <w:p>
      <w:pPr>
        <w:pStyle w:val="ListBullet"/>
        <w:spacing w:after="80"/>
        <w:ind w:left="720"/>
      </w:pPr>
      <w:r>
        <w:t>公司标准接线规范</w:t>
      </w:r>
    </w:p>
    <w:p>
      <w:pPr>
        <w:pStyle w:val="ListBullet"/>
        <w:spacing w:after="80"/>
        <w:ind w:left="720"/>
      </w:pPr>
      <w:r>
        <w:t>线色、线号、端子规则</w:t>
      </w:r>
    </w:p>
    <w:p>
      <w:pPr>
        <w:pStyle w:val="ListBullet"/>
        <w:spacing w:after="80"/>
        <w:ind w:left="720"/>
      </w:pPr>
      <w:r>
        <w:t>电气元件识别</w:t>
      </w:r>
    </w:p>
    <w:p>
      <w:pPr>
        <w:pStyle w:val="ListBullet"/>
        <w:spacing w:after="80"/>
        <w:ind w:left="720"/>
      </w:pPr>
      <w:r>
        <w:t>标准作业步骤SOP</w:t>
      </w:r>
    </w:p>
    <w:p>
      <w:pPr>
        <w:pStyle w:val="Heading4"/>
      </w:pPr>
      <w:r>
        <w:t>模块2：电机控制原理</w:t>
      </w:r>
    </w:p>
    <w:p>
      <w:pPr>
        <w:pStyle w:val="ListBullet"/>
        <w:spacing w:after="80"/>
        <w:ind w:left="720"/>
      </w:pPr>
      <w:r>
        <w:t>三相异步电动机基础</w:t>
      </w:r>
    </w:p>
    <w:p>
      <w:pPr>
        <w:pStyle w:val="ListBullet"/>
        <w:spacing w:after="80"/>
        <w:ind w:left="720"/>
      </w:pPr>
      <w:r>
        <w:t>正反转控制原理</w:t>
      </w:r>
    </w:p>
    <w:p>
      <w:pPr>
        <w:pStyle w:val="ListBullet"/>
        <w:spacing w:after="80"/>
        <w:ind w:left="720"/>
      </w:pPr>
      <w:r>
        <w:t>星三角降压启动原理</w:t>
      </w:r>
    </w:p>
    <w:p>
      <w:pPr>
        <w:pStyle w:val="ListBullet"/>
        <w:spacing w:after="80"/>
        <w:ind w:left="720"/>
      </w:pPr>
      <w:r>
        <w:t>自锁与互锁原理</w:t>
      </w:r>
    </w:p>
    <w:p>
      <w:pPr>
        <w:pStyle w:val="ListBullet"/>
        <w:spacing w:after="80"/>
        <w:ind w:left="720"/>
      </w:pPr>
      <w:r>
        <w:t>主回路与控制回路</w:t>
      </w:r>
    </w:p>
    <w:p>
      <w:pPr>
        <w:pStyle w:val="Heading4"/>
      </w:pPr>
      <w:r>
        <w:t>模块3：传感器与自动供料</w:t>
      </w:r>
    </w:p>
    <w:p>
      <w:pPr>
        <w:pStyle w:val="ListBullet"/>
        <w:spacing w:after="80"/>
        <w:ind w:left="720"/>
      </w:pPr>
      <w:r>
        <w:t>2线制传感器介绍</w:t>
      </w:r>
    </w:p>
    <w:p>
      <w:pPr>
        <w:pStyle w:val="ListBullet"/>
        <w:spacing w:after="80"/>
        <w:ind w:left="720"/>
      </w:pPr>
      <w:r>
        <w:t>3线制NPN/PNP传感器介绍</w:t>
      </w:r>
    </w:p>
    <w:p>
      <w:pPr>
        <w:pStyle w:val="ListBullet"/>
        <w:spacing w:after="80"/>
        <w:ind w:left="720"/>
      </w:pPr>
      <w:r>
        <w:t>传感器接入PLC输入点</w:t>
      </w:r>
    </w:p>
    <w:p>
      <w:pPr>
        <w:pStyle w:val="ListBullet"/>
        <w:spacing w:after="80"/>
        <w:ind w:left="720"/>
      </w:pPr>
      <w:r>
        <w:t>传感器控制中间继电器</w:t>
      </w:r>
    </w:p>
    <w:p>
      <w:pPr>
        <w:pStyle w:val="ListBullet"/>
        <w:spacing w:after="80"/>
        <w:ind w:left="720"/>
      </w:pPr>
      <w:r>
        <w:t>轴承自动供料单元电路</w:t>
      </w:r>
    </w:p>
    <w:p>
      <w:pPr>
        <w:pStyle w:val="Heading4"/>
      </w:pPr>
      <w:r>
        <w:t>模块4：仿真实操训练</w:t>
      </w:r>
    </w:p>
    <w:p>
      <w:pPr>
        <w:pStyle w:val="ListBullet"/>
        <w:spacing w:after="80"/>
        <w:ind w:left="720"/>
      </w:pPr>
      <w:r>
        <w:t>识读电气原理图</w:t>
      </w:r>
    </w:p>
    <w:p>
      <w:pPr>
        <w:pStyle w:val="ListBullet"/>
        <w:spacing w:after="80"/>
        <w:ind w:left="720"/>
      </w:pPr>
      <w:r>
        <w:t>选择电气元件</w:t>
      </w:r>
    </w:p>
    <w:p>
      <w:pPr>
        <w:pStyle w:val="ListBullet"/>
        <w:spacing w:after="80"/>
        <w:ind w:left="720"/>
      </w:pPr>
      <w:r>
        <w:t>按标准完成接线</w:t>
      </w:r>
    </w:p>
    <w:p>
      <w:pPr>
        <w:pStyle w:val="ListBullet"/>
        <w:spacing w:after="80"/>
        <w:ind w:left="720"/>
      </w:pPr>
      <w:r>
        <w:t>通电测试</w:t>
      </w:r>
    </w:p>
    <w:p>
      <w:pPr>
        <w:pStyle w:val="ListBullet"/>
        <w:spacing w:after="80"/>
        <w:ind w:left="720"/>
      </w:pPr>
      <w:r>
        <w:t>故障排查</w:t>
      </w:r>
    </w:p>
    <w:p>
      <w:pPr>
        <w:pStyle w:val="Heading4"/>
      </w:pPr>
      <w:r>
        <w:t>模块5：考核与复训</w:t>
      </w:r>
    </w:p>
    <w:p>
      <w:pPr>
        <w:pStyle w:val="ListBullet"/>
        <w:spacing w:after="80"/>
        <w:ind w:left="720"/>
      </w:pPr>
      <w:r>
        <w:t>理论题库</w:t>
      </w:r>
    </w:p>
    <w:p>
      <w:pPr>
        <w:pStyle w:val="ListBullet"/>
        <w:spacing w:after="80"/>
        <w:ind w:left="720"/>
      </w:pPr>
      <w:r>
        <w:t>随机实操考核</w:t>
      </w:r>
    </w:p>
    <w:p>
      <w:pPr>
        <w:pStyle w:val="ListBullet"/>
        <w:spacing w:after="80"/>
        <w:ind w:left="720"/>
      </w:pPr>
      <w:r>
        <w:t>30分钟限时任务</w:t>
      </w:r>
    </w:p>
    <w:p>
      <w:pPr>
        <w:pStyle w:val="ListBullet"/>
        <w:spacing w:after="80"/>
        <w:ind w:left="720"/>
      </w:pPr>
      <w:r>
        <w:t>错题错操分析</w:t>
      </w:r>
    </w:p>
    <w:p>
      <w:pPr>
        <w:pStyle w:val="ListBullet"/>
        <w:spacing w:after="80"/>
        <w:ind w:left="720"/>
      </w:pPr>
      <w:r>
        <w:t>专项复训</w:t>
      </w:r>
    </w:p>
    <w:p>
      <w:pPr>
        <w:pStyle w:val="Heading4"/>
      </w:pPr>
      <w:r>
        <w:t>S1.2：开发课程课件与演示资源</w:t>
      </w:r>
    </w:p>
    <w:p>
      <w:pPr>
        <w:pStyle w:val="Heading4"/>
      </w:pPr>
      <w:r>
        <w:t>M1.2：完成每个课程模块的讲解课件、操作演示和标准案例。</w:t>
      </w:r>
    </w:p>
    <w:p>
      <w:pPr>
        <w:pStyle w:val="Heading4"/>
      </w:pPr>
      <w:r>
        <w:t>S1.3：建立章节练习</w:t>
      </w:r>
    </w:p>
    <w:p>
      <w:pPr>
        <w:pStyle w:val="Heading4"/>
      </w:pPr>
      <w:r>
        <w:t>M1.3：每个章节配置练习题与知识点测验，章节测验正确率目标≥90%。</w:t>
      </w:r>
    </w:p>
    <w:p>
      <w:pPr>
        <w:pStyle w:val="Heading2"/>
      </w:pPr>
      <w:r>
        <w:t>S2：建设任务化虚拟实训体系</w:t>
      </w:r>
    </w:p>
    <w:p>
      <w:pPr>
        <w:pStyle w:val="Heading3"/>
      </w:pPr>
      <w:r>
        <w:t>M2：完成两大典型场景的虚拟实训任务建设，支持识图、接线、测试、排错全过程训练。</w:t>
      </w:r>
    </w:p>
    <w:p>
      <w:pPr>
        <w:pStyle w:val="Heading3"/>
      </w:pPr>
      <w:r>
        <w:t>O2：建设任务化虚拟实训体系</w:t>
      </w:r>
    </w:p>
    <w:p>
      <w:pPr>
        <w:pStyle w:val="Heading4"/>
      </w:pPr>
      <w:r>
        <w:t>G2：新员工能够在30分钟内完成随机实操任务，接线正确率≥95%，通电测试成功率≥95%。</w:t>
      </w:r>
    </w:p>
    <w:p>
      <w:pPr>
        <w:pStyle w:val="Heading4"/>
      </w:pPr>
      <w:r>
        <w:t>S2.1：建设三相异步电动机正反转星三角实训</w:t>
      </w:r>
    </w:p>
    <w:p>
      <w:pPr>
        <w:pStyle w:val="Heading4"/>
      </w:pPr>
      <w:r>
        <w:t>M2.1：覆盖主回路接线、控制回路接线、正反转互锁、星三角互锁、通电测试。</w:t>
      </w:r>
    </w:p>
    <w:p>
      <w:pPr>
        <w:pStyle w:val="Heading4"/>
      </w:pPr>
      <w:r>
        <w:t>S2.2：建设轴承自动供料单元实训</w:t>
      </w:r>
    </w:p>
    <w:p>
      <w:pPr>
        <w:pStyle w:val="Heading4"/>
      </w:pPr>
      <w:r>
        <w:t>M2.2：覆盖2线制/3线制传感器、NPN/PNP接入PLC、中间继电器控制、定时器控制。</w:t>
      </w:r>
    </w:p>
    <w:p>
      <w:pPr>
        <w:pStyle w:val="Heading4"/>
      </w:pPr>
      <w:r>
        <w:t>S2.3：建设标准接线任务链</w:t>
      </w:r>
    </w:p>
    <w:p>
      <w:pPr>
        <w:pStyle w:val="Heading4"/>
      </w:pPr>
      <w:r>
        <w:t>M2.3：形成“识图-选件-接线-测试-排错-复盘”的完整训练流程。</w:t>
      </w:r>
    </w:p>
    <w:p>
      <w:pPr>
        <w:pStyle w:val="Heading4"/>
      </w:pPr>
      <w:r>
        <w:t>S2.4：建设错误提示与故障反馈机制</w:t>
      </w:r>
    </w:p>
    <w:p>
      <w:pPr>
        <w:pStyle w:val="Heading4"/>
      </w:pPr>
      <w:r>
        <w:t>M2.4：系统能够识别错接、漏接、互锁错误、传感器接入错误并给出反馈。</w:t>
      </w:r>
    </w:p>
    <w:p>
      <w:pPr>
        <w:pStyle w:val="Heading2"/>
      </w:pPr>
      <w:r>
        <w:t>S3：建立考核认证体系</w:t>
      </w:r>
    </w:p>
    <w:p>
      <w:pPr>
        <w:pStyle w:val="Heading3"/>
      </w:pPr>
      <w:r>
        <w:t>M3：完成理论题库、实操任务库和评分规则建设，实现培训结果可认证、可追踪。</w:t>
      </w:r>
    </w:p>
    <w:p>
      <w:pPr>
        <w:pStyle w:val="Heading3"/>
      </w:pPr>
      <w:r>
        <w:t>O3：建立考核认证体系</w:t>
      </w:r>
    </w:p>
    <w:p>
      <w:pPr>
        <w:pStyle w:val="Heading4"/>
      </w:pPr>
      <w:r>
        <w:t>G3：建设不少于200题理论题库和随机实操任务库，考核覆盖核心知识点和两大典型实训场景。</w:t>
      </w:r>
    </w:p>
    <w:p>
      <w:pPr>
        <w:pStyle w:val="Heading4"/>
      </w:pPr>
      <w:r>
        <w:t>S3.1：建设理论题库</w:t>
      </w:r>
    </w:p>
    <w:p>
      <w:pPr>
        <w:pStyle w:val="Heading4"/>
      </w:pPr>
      <w:r>
        <w:t>M3.1：题型覆盖单选、多选、判断、识图、原理分析。</w:t>
      </w:r>
    </w:p>
    <w:p>
      <w:pPr>
        <w:pStyle w:val="Heading4"/>
      </w:pPr>
      <w:r>
        <w:t>S3.2：建设实操任务库</w:t>
      </w:r>
    </w:p>
    <w:p>
      <w:pPr>
        <w:pStyle w:val="Heading4"/>
      </w:pPr>
      <w:r>
        <w:t>M3.2：任务覆盖电机控制、轴承自动供料、传感器接入、继电器控制。</w:t>
      </w:r>
    </w:p>
    <w:p>
      <w:pPr>
        <w:pStyle w:val="Heading4"/>
      </w:pPr>
      <w:r>
        <w:t>S3.3：制定评分规则</w:t>
      </w:r>
    </w:p>
    <w:p>
      <w:pPr>
        <w:pStyle w:val="Heading4"/>
      </w:pPr>
      <w:r>
        <w:t>M3.3：评分覆盖接线步骤、接线正确性、通电测试、安全错误、任务耗时。</w:t>
      </w:r>
    </w:p>
    <w:p>
      <w:pPr>
        <w:pStyle w:val="Heading4"/>
      </w:pPr>
      <w:r>
        <w:t>S3.4：生成考核报告</w:t>
      </w:r>
    </w:p>
    <w:p>
      <w:pPr>
        <w:pStyle w:val="Heading4"/>
      </w:pPr>
      <w:r>
        <w:t>M3.4：输出理论成绩、实操成绩、错误类型、薄弱知识点和复训建议。</w:t>
      </w:r>
    </w:p>
    <w:p>
      <w:pPr>
        <w:pStyle w:val="Heading2"/>
      </w:pPr>
      <w:r>
        <w:t>S4：建立错题复训与数据运营闭环</w:t>
      </w:r>
    </w:p>
    <w:p>
      <w:pPr>
        <w:pStyle w:val="Heading3"/>
      </w:pPr>
      <w:r>
        <w:t>M4：未达标员工100%进入复训，复训后通过率≥90%，高频错误重复发生率≤10%。</w:t>
      </w:r>
    </w:p>
    <w:p>
      <w:pPr>
        <w:pStyle w:val="Heading3"/>
      </w:pPr>
      <w:r>
        <w:t>O4：建立错题复训与数据运营闭环</w:t>
      </w:r>
    </w:p>
    <w:p>
      <w:pPr>
        <w:pStyle w:val="Heading4"/>
      </w:pPr>
      <w:r>
        <w:t>G4：对未达标员工自动生成复训任务，复训完成率100%，复训后通过率≥90%。</w:t>
      </w:r>
    </w:p>
    <w:p>
      <w:pPr>
        <w:pStyle w:val="Heading4"/>
      </w:pPr>
      <w:r>
        <w:t>S4.1：建立错题错操归因机制</w:t>
      </w:r>
    </w:p>
    <w:p>
      <w:pPr>
        <w:pStyle w:val="Heading4"/>
      </w:pPr>
      <w:r>
        <w:t>M4.1：识别错误所属知识点、错误类型和对应课程模块。</w:t>
      </w:r>
    </w:p>
    <w:p>
      <w:pPr>
        <w:pStyle w:val="Heading4"/>
      </w:pPr>
      <w:r>
        <w:t>S4.2：建立专项复训课程</w:t>
      </w:r>
    </w:p>
    <w:p>
      <w:pPr>
        <w:pStyle w:val="Heading4"/>
      </w:pPr>
      <w:r>
        <w:t>M4.2：根据薄弱项推送对应课程、练习和实操任务。</w:t>
      </w:r>
    </w:p>
    <w:p>
      <w:pPr>
        <w:pStyle w:val="Heading4"/>
      </w:pPr>
      <w:r>
        <w:t>S4.3：建立培训数据看板</w:t>
      </w:r>
    </w:p>
    <w:p>
      <w:pPr>
        <w:pStyle w:val="Heading4"/>
      </w:pPr>
      <w:r>
        <w:t>M4.3：统计学习进度、通过率、平均耗时、高频错误、章节掌握度。</w:t>
      </w:r>
    </w:p>
    <w:p>
      <w:pPr>
        <w:pStyle w:val="Heading4"/>
      </w:pPr>
      <w:r>
        <w:t>S4.4：建立课程优化机制</w:t>
      </w:r>
    </w:p>
    <w:p>
      <w:pPr>
        <w:pStyle w:val="Heading4"/>
      </w:pPr>
      <w:r>
        <w:t>M4.4：每月根据高频错误和考核数据优化课程内容、题库和评分规则。</w:t>
      </w:r>
    </w:p>
    <w:p>
      <w:pPr>
        <w:pStyle w:val="Heading1"/>
      </w:pPr>
      <w:r>
        <w:t>附：导入思维导图建议</w:t>
      </w:r>
    </w:p>
    <w:p>
      <w:pPr>
        <w:pStyle w:val="ListBullet"/>
      </w:pPr>
      <w:r>
        <w:t>在 WPS 中优先尝试“思维导图 &gt; 导入 &gt; 从 Word/大纲导入”。</w:t>
      </w:r>
    </w:p>
    <w:p>
      <w:pPr>
        <w:pStyle w:val="ListBullet"/>
      </w:pPr>
      <w:r>
        <w:t>若 WPS 无法识别 Word 层级，可复制本文标题层级内容到 XMind 或 WPS 思维导图的大纲模式。</w:t>
      </w:r>
    </w:p>
    <w:p>
      <w:pPr>
        <w:pStyle w:val="ListBullet"/>
      </w:pPr>
      <w:r>
        <w:t>导入后检查层级是否保持为 O → G → S → M，尤其确认课程大纲位于 S1/M1.1 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微软雅黑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微软雅黑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微软雅黑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60" w:line="276" w:lineRule="auto"/>
      <w:outlineLvl w:val="3"/>
    </w:pPr>
    <w:rPr>
      <w:rFonts w:asciiTheme="majorHAnsi" w:eastAsiaTheme="majorEastAsia" w:hAnsiTheme="majorHAnsi" w:cstheme="majorBidi" w:ascii="Arial" w:hAnsi="Arial" w:eastAsia="微软雅黑"/>
      <w:b w:val="0"/>
      <w:bCs/>
      <w:i/>
      <w:iCs/>
      <w:color w:val="43434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76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