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C9A84C"/>
          <w:spacing w:val="200"/>
          <w:sz w:val="26"/>
          <w:szCs w:val="26"/>
        </w:rPr>
        <w:t xml:space="preserve">YELDEN PROTOCOL</w:t>
      </w:r>
    </w:p>
    <w:p>
      <w:pPr>
        <w:spacing w:after="80" w:before="0"/>
        <w:jc w:val="center"/>
      </w:pPr>
      <w:r>
        <w:rPr>
          <w:rFonts w:ascii="Arial" w:cs="Arial" w:eastAsia="Arial" w:hAnsi="Arial"/>
          <w:b/>
          <w:bCs/>
          <w:color w:val="1a2744"/>
          <w:sz w:val="44"/>
          <w:szCs w:val="44"/>
        </w:rPr>
        <w:t xml:space="preserve">Accountability for Autonomous Trading Agents</w:t>
      </w:r>
    </w:p>
    <w:p>
      <w:pPr>
        <w:spacing w:after="40" w:before="40"/>
      </w:pPr>
      <w:r>
        <w:t xml:space="preserve"/>
      </w:r>
    </w:p>
    <w:p>
      <w:pPr>
        <w:pBdr>
          <w:top w:val="single" w:color="C9A84C" w:sz="4" w:space="6"/>
          <w:bottom w:val="single" w:color="C9A84C" w:sz="4" w:space="6"/>
        </w:pBdr>
        <w:spacing w:after="80" w:before="0"/>
        <w:jc w:val="center"/>
      </w:pPr>
      <w:r>
        <w:rPr>
          <w:rFonts w:ascii="Arial" w:cs="Arial" w:eastAsia="Arial" w:hAnsi="Arial"/>
          <w:i/>
          <w:iCs/>
          <w:color w:val="555555"/>
          <w:sz w:val="20"/>
          <w:szCs w:val="20"/>
        </w:rPr>
        <w:t xml:space="preserve">"An agent that cannot lose cannot be trusted."  — Taleb, Skin in the Game</w:t>
      </w:r>
    </w:p>
    <w:p>
      <w:pPr>
        <w:spacing w:after="40" w:before="40"/>
      </w:pPr>
      <w:r>
        <w:t xml:space="preserve"/>
      </w:r>
    </w:p>
    <w:p>
      <w:pPr>
        <w:spacing w:after="40" w:before="40"/>
      </w:pPr>
      <w:r>
        <w:t xml:space="preserve"/>
      </w:r>
    </w:p>
    <w:p>
      <w:pPr>
        <w:spacing w:after="60" w:before="0"/>
        <w:jc w:val="center"/>
      </w:pPr>
      <w:r>
        <w:rPr>
          <w:rFonts w:ascii="Arial" w:cs="Arial" w:eastAsia="Arial" w:hAnsi="Arial"/>
          <w:color w:val="999999"/>
          <w:sz w:val="19"/>
          <w:szCs w:val="19"/>
        </w:rPr>
        <w:t xml:space="preserve">Version 16.0  ·  October 2026  ·  Polygon Mainnet (Chain ID 137)</w:t>
      </w:r>
    </w:p>
    <w:p>
      <w:pPr>
        <w:spacing w:after="60" w:before="0"/>
        <w:jc w:val="center"/>
      </w:pPr>
      <w:r>
        <w:rPr>
          <w:rFonts w:ascii="Courier New" w:cs="Courier New" w:eastAsia="Courier New" w:hAnsi="Courier New"/>
          <w:color w:val="1a2744"/>
          <w:sz w:val="17"/>
          <w:szCs w:val="17"/>
        </w:rPr>
        <w:t xml:space="preserve">AIAgentRegistry: 0xbC102cDec0DD007E7739ac213b62d5B031B22aF1</w:t>
      </w:r>
    </w:p>
    <w:p>
      <w:pPr>
        <w:spacing w:after="60" w:before="0"/>
        <w:jc w:val="center"/>
      </w:pPr>
      <w:r>
        <w:rPr>
          <w:rFonts w:ascii="Arial" w:cs="Arial" w:eastAsia="Arial" w:hAnsi="Arial"/>
          <w:color w:val="C9A84C"/>
          <w:sz w:val="19"/>
          <w:szCs w:val="19"/>
        </w:rPr>
        <w:t xml:space="preserve">yelden.fund</w:t>
      </w:r>
    </w:p>
    <w:p>
      <w:r>
        <w:br/>
      </w:r>
    </w:p>
    <w:p>
      <w:pPr>
        <w:pStyle w:val="Heading1"/>
        <w:spacing w:after="200" w:before="480"/>
      </w:pPr>
      <w:r>
        <w:rPr>
          <w:rFonts w:ascii="Arial" w:cs="Arial" w:eastAsia="Arial" w:hAnsi="Arial"/>
          <w:b/>
          <w:bCs/>
          <w:color w:val="1a2744"/>
          <w:sz w:val="36"/>
          <w:szCs w:val="36"/>
        </w:rPr>
        <w:t xml:space="preserve">00 — Executive Summary</w:t>
      </w:r>
    </w:p>
    <w:p>
      <w:pPr>
        <w:spacing w:after="100" w:before="80"/>
        <w:jc w:val="both"/>
      </w:pPr>
      <w:r>
        <w:rPr>
          <w:rFonts w:ascii="Arial" w:cs="Arial" w:eastAsia="Arial" w:hAnsi="Arial"/>
          <w:color w:val="222222"/>
          <w:sz w:val="21"/>
          <w:szCs w:val="21"/>
        </w:rPr>
        <w:t xml:space="preserve">Autonomous trading agents manage capital at scale. None are accountable.</w:t>
      </w:r>
    </w:p>
    <w:p>
      <w:pPr>
        <w:spacing w:after="100" w:before="80"/>
        <w:jc w:val="both"/>
      </w:pPr>
      <w:r>
        <w:rPr>
          <w:rFonts w:ascii="Arial" w:cs="Arial" w:eastAsia="Arial" w:hAnsi="Arial"/>
          <w:color w:val="222222"/>
          <w:sz w:val="21"/>
          <w:szCs w:val="21"/>
        </w:rPr>
        <w:t xml:space="preserve">An agent that underperforms today can simply stop, restart under a new address, and continue operating with no track record, no consequence, and no mechanism for capital allocators to distinguish skill from luck. This is not a theoretical problem — it is the current state of the entire agent economy.</w:t>
      </w:r>
    </w:p>
    <w:p>
      <w:pPr>
        <w:spacing w:after="100" w:before="80"/>
        <w:jc w:val="both"/>
      </w:pPr>
      <w:r>
        <w:rPr>
          <w:rFonts w:ascii="Arial" w:cs="Arial" w:eastAsia="Arial" w:hAnsi="Arial"/>
          <w:color w:val="222222"/>
          <w:sz w:val="21"/>
          <w:szCs w:val="21"/>
        </w:rPr>
        <w:t xml:space="preserve">Yelden Protocol is the accountability layer for autonomous trading agents. We provide:</w:t>
      </w:r>
    </w:p>
    <w:p>
      <w:pPr>
        <w:pStyle w:val="ListParagraph"/>
        <w:numPr>
          <w:ilvl w:val="0"/>
          <w:numId w:val="2"/>
        </w:numPr>
        <w:spacing w:after="60" w:before="60"/>
      </w:pPr>
      <w:r>
        <w:rPr>
          <w:rFonts w:ascii="Arial" w:cs="Arial" w:eastAsia="Arial" w:hAnsi="Arial"/>
          <w:color w:val="222222"/>
          <w:sz w:val="21"/>
          <w:szCs w:val="21"/>
        </w:rPr>
        <w:t xml:space="preserve">YAAF — a multi-component, literature-grounded score validated empirically to predict future returns.</w:t>
      </w:r>
    </w:p>
    <w:p>
      <w:pPr>
        <w:pStyle w:val="ListParagraph"/>
        <w:numPr>
          <w:ilvl w:val="0"/>
          <w:numId w:val="2"/>
        </w:numPr>
        <w:spacing w:after="60" w:before="60"/>
      </w:pPr>
      <w:r>
        <w:rPr>
          <w:rFonts w:ascii="Arial" w:cs="Arial" w:eastAsia="Arial" w:hAnsi="Arial"/>
          <w:color w:val="222222"/>
          <w:sz w:val="21"/>
          <w:szCs w:val="21"/>
        </w:rPr>
        <w:t xml:space="preserve">AIAgentRegistry — an on-chain registry on Polygon that stores scores, enforces fees, and slashes underperformers.</w:t>
      </w:r>
    </w:p>
    <w:p>
      <w:pPr>
        <w:pStyle w:val="ListParagraph"/>
        <w:numPr>
          <w:ilvl w:val="0"/>
          <w:numId w:val="2"/>
        </w:numPr>
        <w:spacing w:after="60" w:before="60"/>
      </w:pPr>
      <w:r>
        <w:rPr>
          <w:rFonts w:ascii="Arial" w:cs="Arial" w:eastAsia="Arial" w:hAnsi="Arial"/>
          <w:color w:val="222222"/>
          <w:sz w:val="21"/>
          <w:szCs w:val="21"/>
        </w:rPr>
        <w:t xml:space="preserve">A fee model in USDC/USDT/MATIC where excellence is free and mediocrity costs.</w:t>
      </w:r>
    </w:p>
    <w:p>
      <w:pPr>
        <w:spacing w:after="40" w:before="40"/>
      </w:pPr>
      <w:r>
        <w:t xml:space="preserve"/>
      </w:r>
    </w:p>
    <w:p>
      <w:pPr>
        <w:spacing w:after="100" w:before="80"/>
        <w:jc w:val="both"/>
      </w:pPr>
      <w:r>
        <w:rPr>
          <w:rFonts w:ascii="Arial" w:cs="Arial" w:eastAsia="Arial" w:hAnsi="Arial"/>
          <w:b/>
          <w:bCs/>
          <w:color w:val="1a2744"/>
          <w:sz w:val="21"/>
          <w:szCs w:val="21"/>
        </w:rPr>
        <w:t xml:space="preserve">The core empirical result: </w:t>
      </w:r>
      <w:r>
        <w:rPr>
          <w:rFonts w:ascii="Arial" w:cs="Arial" w:eastAsia="Arial" w:hAnsi="Arial"/>
          <w:color w:val="222222"/>
          <w:sz w:val="21"/>
          <w:szCs w:val="21"/>
        </w:rPr>
        <w:t xml:space="preserve">YAAF's S_RAW score demonstrated an Information Coefficient of rho=0.4362 (p=0.0005, n=60) against future returns on GMX V2 with real R-multiples. Sharpe ratio on the same sample achieved only rho=0.1747 (p=0.18). YAAF is 2.5x more predictive than Sharpe.</w:t>
      </w:r>
    </w:p>
    <w:p>
      <w:pPr>
        <w:spacing w:after="40" w:before="40"/>
      </w:pPr>
      <w:r>
        <w:t xml:space="preserve"/>
      </w:r>
    </w:p>
    <w:p>
      <w:pPr>
        <w:spacing w:after="100" w:before="80"/>
        <w:jc w:val="both"/>
      </w:pPr>
      <w:r>
        <w:rPr>
          <w:rFonts w:ascii="Arial" w:cs="Arial" w:eastAsia="Arial" w:hAnsi="Arial"/>
          <w:color w:val="222222"/>
          <w:sz w:val="21"/>
          <w:szCs w:val="21"/>
        </w:rPr>
        <w:t xml:space="preserve">Current state: 4 live trading agents in production (Pepperstone, FTMO, OKX, IBKR), 478 traders scored in the observatory across 3 venues, AIAgentRegistry deployed on Polygon mainnet.</w:t>
      </w:r>
    </w:p>
    <w:p>
      <w:r>
        <w:br/>
      </w:r>
    </w:p>
    <w:p>
      <w:pPr>
        <w:pStyle w:val="Heading1"/>
        <w:spacing w:after="200" w:before="480"/>
      </w:pPr>
      <w:r>
        <w:rPr>
          <w:rFonts w:ascii="Arial" w:cs="Arial" w:eastAsia="Arial" w:hAnsi="Arial"/>
          <w:b/>
          <w:bCs/>
          <w:color w:val="1a2744"/>
          <w:sz w:val="36"/>
          <w:szCs w:val="36"/>
        </w:rPr>
        <w:t xml:space="preserve">01 — The Problem</w:t>
      </w:r>
    </w:p>
    <w:p>
      <w:pPr>
        <w:spacing w:after="100" w:before="80"/>
        <w:jc w:val="both"/>
      </w:pPr>
      <w:r>
        <w:rPr>
          <w:rFonts w:ascii="Arial" w:cs="Arial" w:eastAsia="Arial" w:hAnsi="Arial"/>
          <w:color w:val="222222"/>
          <w:sz w:val="21"/>
          <w:szCs w:val="21"/>
        </w:rPr>
        <w:t xml:space="preserve">Three structural failures define the current agent economy.</w:t>
      </w:r>
    </w:p>
    <w:p>
      <w:pPr>
        <w:pStyle w:val="Heading2"/>
        <w:spacing w:after="160" w:before="320"/>
      </w:pPr>
      <w:r>
        <w:rPr>
          <w:rFonts w:ascii="Arial" w:cs="Arial" w:eastAsia="Arial" w:hAnsi="Arial"/>
          <w:b/>
          <w:bCs/>
          <w:color w:val="1a2744"/>
          <w:sz w:val="26"/>
          <w:szCs w:val="26"/>
        </w:rPr>
        <w:t xml:space="preserve">1.1 Agents manage capital. None are accountable.</w:t>
      </w:r>
    </w:p>
    <w:p>
      <w:pPr>
        <w:spacing w:after="100" w:before="80"/>
        <w:jc w:val="both"/>
      </w:pPr>
      <w:r>
        <w:rPr>
          <w:rFonts w:ascii="Arial" w:cs="Arial" w:eastAsia="Arial" w:hAnsi="Arial"/>
          <w:color w:val="222222"/>
          <w:sz w:val="21"/>
          <w:szCs w:val="21"/>
        </w:rPr>
        <w:t xml:space="preserve">Autonomous trading agents execute real capital across DeFi, FX, and equities. They are faster than humans, run continuously, and operate without oversight. But there is no infrastructure that holds them accountable when they fail.</w:t>
      </w:r>
    </w:p>
    <w:p>
      <w:pPr>
        <w:pStyle w:val="Heading2"/>
        <w:spacing w:after="160" w:before="320"/>
      </w:pPr>
      <w:r>
        <w:rPr>
          <w:rFonts w:ascii="Arial" w:cs="Arial" w:eastAsia="Arial" w:hAnsi="Arial"/>
          <w:b/>
          <w:bCs/>
          <w:color w:val="1a2744"/>
          <w:sz w:val="26"/>
          <w:szCs w:val="26"/>
        </w:rPr>
        <w:t xml:space="preserve">1.2 Track records do not survive.</w:t>
      </w:r>
    </w:p>
    <w:p>
      <w:pPr>
        <w:spacing w:after="100" w:before="80"/>
        <w:jc w:val="both"/>
      </w:pPr>
      <w:r>
        <w:rPr>
          <w:rFonts w:ascii="Arial" w:cs="Arial" w:eastAsia="Arial" w:hAnsi="Arial"/>
          <w:color w:val="222222"/>
          <w:sz w:val="21"/>
          <w:szCs w:val="21"/>
        </w:rPr>
        <w:t xml:space="preserve">An agent that loses money can terminate and restart under a new address. Its history is erased. No allocator can verify performance over time. There is no persistent, verifiable, cross-venue track record.</w:t>
      </w:r>
    </w:p>
    <w:p>
      <w:pPr>
        <w:pStyle w:val="Heading2"/>
        <w:spacing w:after="160" w:before="320"/>
      </w:pPr>
      <w:r>
        <w:rPr>
          <w:rFonts w:ascii="Arial" w:cs="Arial" w:eastAsia="Arial" w:hAnsi="Arial"/>
          <w:b/>
          <w:bCs/>
          <w:color w:val="1a2744"/>
          <w:sz w:val="26"/>
          <w:szCs w:val="26"/>
        </w:rPr>
        <w:t xml:space="preserve">1.3 No common scoring standard.</w:t>
      </w:r>
    </w:p>
    <w:p>
      <w:pPr>
        <w:spacing w:after="100" w:before="80"/>
        <w:jc w:val="both"/>
      </w:pPr>
      <w:r>
        <w:rPr>
          <w:rFonts w:ascii="Arial" w:cs="Arial" w:eastAsia="Arial" w:hAnsi="Arial"/>
          <w:color w:val="222222"/>
          <w:sz w:val="21"/>
          <w:szCs w:val="21"/>
        </w:rPr>
        <w:t xml:space="preserve">Every protocol has its own metrics. Sharpe here, ROI there, win rate elsewhere. There is no canonical score that is grounded in the quantitative finance literature, scale-free, anti-overfit, anti-gaming, and empirically validated against future returns.</w:t>
      </w:r>
    </w:p>
    <w:p>
      <w:r>
        <w:br/>
      </w:r>
    </w:p>
    <w:p>
      <w:pPr>
        <w:pStyle w:val="Heading1"/>
        <w:spacing w:after="200" w:before="480"/>
      </w:pPr>
      <w:r>
        <w:rPr>
          <w:rFonts w:ascii="Arial" w:cs="Arial" w:eastAsia="Arial" w:hAnsi="Arial"/>
          <w:b/>
          <w:bCs/>
          <w:color w:val="1a2744"/>
          <w:sz w:val="36"/>
          <w:szCs w:val="36"/>
        </w:rPr>
        <w:t xml:space="preserve">02 — What Yelden Solves</w:t>
      </w:r>
    </w:p>
    <w:p>
      <w:pPr>
        <w:spacing w:after="100" w:before="80"/>
        <w:jc w:val="both"/>
      </w:pPr>
      <w:r>
        <w:rPr>
          <w:rFonts w:ascii="Arial" w:cs="Arial" w:eastAsia="Arial" w:hAnsi="Arial"/>
          <w:color w:val="222222"/>
          <w:sz w:val="21"/>
          <w:szCs w:val="21"/>
        </w:rPr>
        <w:t xml:space="preserve">Yelden introduces an accountability-first framework where every economic flow is conditioned on verifiable performance.</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Problem</w:t>
            </w:r>
          </w:p>
        </w:tc>
        <w:tc>
          <w:tcPr>
            <w:tcW w:type="dxa" w:w="57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Yelden's 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Agents without consequence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slash() on verified drawdown / capital loss</w:t>
            </w:r>
          </w:p>
        </w:tc>
      </w:tr>
      <w:tr>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No persistent track record</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SISTEMA score compounds over rounds via EMA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common standard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YAAF — 11 components, literature-grounded</w:t>
            </w:r>
          </w:p>
        </w:tc>
      </w:tr>
      <w:tr>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No anti-gaming</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Volume Axiom — hard gate on real position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empirical 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IC test: rho=0.4362, p=0.0005 (GMX V2, n=60)</w:t>
            </w:r>
          </w:p>
        </w:tc>
      </w:tr>
    </w:tbl>
    <w:p>
      <w:r>
        <w:br/>
      </w:r>
    </w:p>
    <w:p>
      <w:pPr>
        <w:pStyle w:val="Heading1"/>
        <w:spacing w:after="200" w:before="480"/>
      </w:pPr>
      <w:r>
        <w:rPr>
          <w:rFonts w:ascii="Arial" w:cs="Arial" w:eastAsia="Arial" w:hAnsi="Arial"/>
          <w:b/>
          <w:bCs/>
          <w:color w:val="1a2744"/>
          <w:sz w:val="36"/>
          <w:szCs w:val="36"/>
        </w:rPr>
        <w:t xml:space="preserve">03 — The YAAF Score</w:t>
      </w:r>
    </w:p>
    <w:p>
      <w:pPr>
        <w:pStyle w:val="Heading2"/>
        <w:spacing w:after="160" w:before="320"/>
      </w:pPr>
      <w:r>
        <w:rPr>
          <w:rFonts w:ascii="Arial" w:cs="Arial" w:eastAsia="Arial" w:hAnsi="Arial"/>
          <w:b/>
          <w:bCs/>
          <w:color w:val="1a2744"/>
          <w:sz w:val="26"/>
          <w:szCs w:val="26"/>
        </w:rPr>
        <w:t xml:space="preserve">3.1 S_RAW v5 — 11 Components + 2 Penalties</w:t>
      </w:r>
    </w:p>
    <w:p>
      <w:pPr>
        <w:spacing w:after="100" w:before="80"/>
        <w:jc w:val="both"/>
      </w:pPr>
      <w:r>
        <w:rPr>
          <w:rFonts w:ascii="Arial" w:cs="Arial" w:eastAsia="Arial" w:hAnsi="Arial"/>
          <w:color w:val="222222"/>
          <w:sz w:val="21"/>
          <w:szCs w:val="21"/>
        </w:rPr>
        <w:t xml:space="preserve">S_RAW is computed from 11 normalised performance metrics. Positive weights sum to 1.00. CVaR and Drawdown enter as direct subtractions.</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2100"/>
        <w:gridCol w:w="960"/>
        <w:gridCol w:w="5820"/>
      </w:tblGrid>
      <w:tr>
        <w:tc>
          <w:tcPr>
            <w:tcW w:type="dxa" w:w="48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t>
            </w:r>
          </w:p>
        </w:tc>
        <w:tc>
          <w:tcPr>
            <w:tcW w:type="dxa" w:w="21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Component</w:t>
            </w:r>
          </w:p>
        </w:tc>
        <w:tc>
          <w:tcPr>
            <w:tcW w:type="dxa" w:w="9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Weight</w:t>
            </w:r>
          </w:p>
        </w:tc>
        <w:tc>
          <w:tcPr>
            <w:tcW w:type="dxa" w:w="582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Formula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Sharpe × DSR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0.14</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min(SR/2.5, 1) × 100 × DSR</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2</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Sortino × CF</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0.07</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min(Sortino/8, 1) × 100 × min(n_loss/20, 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Win Rate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0.08</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WR × 100</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4</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Profit Factor</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0.10</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min((PF-1)/1.5, 1) × 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Avg 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0.07</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min(AvgR/1.5, 1) × 100</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6</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Expectancy</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0.09</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min(max(E(R),0)/0.6, 1) × 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Inv. Volatility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0.05</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max(1 − σ_d/2, 0) × 100</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8</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Stability²</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0.09</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(1/(1+σ_mSharpe))² × 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Smoothness²</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0.08</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min(Calmar/4, 1)² × 100</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10</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Pf Percentile</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0.12</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 of 1,000 random portfolios beaten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Mc (Independence)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0.07</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(1 − |β|)² × 100</w:t>
            </w:r>
          </w:p>
        </w:tc>
      </w:tr>
      <w:tr>
        <w:tc>
          <w:tcPr>
            <w:tcW w:type="dxa" w:w="4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1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CVaR penalty</w:t>
            </w:r>
          </w:p>
        </w:tc>
        <w:tc>
          <w:tcPr>
            <w:tcW w:type="dxa" w:w="9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58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min(CVaR/2, 1) × 15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Max DD penalty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MaxDD% × 0.25</w:t>
            </w:r>
          </w:p>
        </w:tc>
      </w:tr>
    </w:tbl>
    <w:p>
      <w:pPr>
        <w:spacing w:after="40" w:before="40"/>
      </w:pPr>
      <w:r>
        <w:t xml:space="preserve"/>
      </w:r>
    </w:p>
    <w:p>
      <w:pPr>
        <w:spacing w:after="120" w:before="240"/>
      </w:pPr>
      <w:r>
        <w:rPr>
          <w:rFonts w:ascii="Arial" w:cs="Arial" w:eastAsia="Arial" w:hAnsi="Arial"/>
          <w:b/>
          <w:bCs/>
          <w:color w:val="333333"/>
          <w:sz w:val="22"/>
          <w:szCs w:val="22"/>
        </w:rPr>
        <w:t xml:space="preserve">Design Principles</w:t>
      </w:r>
    </w:p>
    <w:p>
      <w:pPr>
        <w:pStyle w:val="ListParagraph"/>
        <w:numPr>
          <w:ilvl w:val="0"/>
          <w:numId w:val="2"/>
        </w:numPr>
        <w:spacing w:after="60" w:before="60"/>
      </w:pPr>
      <w:r>
        <w:rPr>
          <w:rFonts w:ascii="Arial" w:cs="Arial" w:eastAsia="Arial" w:hAnsi="Arial"/>
          <w:color w:val="222222"/>
          <w:sz w:val="21"/>
          <w:szCs w:val="21"/>
        </w:rPr>
        <w:t xml:space="preserve">Scale-free — all metrics in R-multiples or dimensionless ratios.</w:t>
      </w:r>
    </w:p>
    <w:p>
      <w:pPr>
        <w:pStyle w:val="ListParagraph"/>
        <w:numPr>
          <w:ilvl w:val="0"/>
          <w:numId w:val="2"/>
        </w:numPr>
        <w:spacing w:after="60" w:before="60"/>
      </w:pPr>
      <w:r>
        <w:rPr>
          <w:rFonts w:ascii="Arial" w:cs="Arial" w:eastAsia="Arial" w:hAnsi="Arial"/>
          <w:color w:val="222222"/>
          <w:sz w:val="21"/>
          <w:szCs w:val="21"/>
        </w:rPr>
        <w:t xml:space="preserve">Anti-overfit — DSR (Bailey &amp; López de Prado, 2014) penalises statistical noise.</w:t>
      </w:r>
    </w:p>
    <w:p>
      <w:pPr>
        <w:pStyle w:val="ListParagraph"/>
        <w:numPr>
          <w:ilvl w:val="0"/>
          <w:numId w:val="2"/>
        </w:numPr>
        <w:spacing w:after="60" w:before="60"/>
      </w:pPr>
      <w:r>
        <w:rPr>
          <w:rFonts w:ascii="Arial" w:cs="Arial" w:eastAsia="Arial" w:hAnsi="Arial"/>
          <w:color w:val="222222"/>
          <w:sz w:val="21"/>
          <w:szCs w:val="21"/>
        </w:rPr>
        <w:t xml:space="preserve">Tail-aware — CVaR (Rockafellar &amp; Uryasev, 2000) as explicit penalty.</w:t>
      </w:r>
    </w:p>
    <w:p>
      <w:pPr>
        <w:pStyle w:val="ListParagraph"/>
        <w:numPr>
          <w:ilvl w:val="0"/>
          <w:numId w:val="2"/>
        </w:numPr>
        <w:spacing w:after="60" w:before="60"/>
      </w:pPr>
      <w:r>
        <w:rPr>
          <w:rFonts w:ascii="Arial" w:cs="Arial" w:eastAsia="Arial" w:hAnsi="Arial"/>
          <w:color w:val="222222"/>
          <w:sz w:val="21"/>
          <w:szCs w:val="21"/>
        </w:rPr>
        <w:t xml:space="preserve">Anti-gaming — Volume Axiom is a hard gate: failure forces S_RAW = 0.</w:t>
      </w:r>
    </w:p>
    <w:p>
      <w:pPr>
        <w:pStyle w:val="Heading2"/>
        <w:spacing w:after="160" w:before="320"/>
      </w:pPr>
      <w:r>
        <w:rPr>
          <w:rFonts w:ascii="Arial" w:cs="Arial" w:eastAsia="Arial" w:hAnsi="Arial"/>
          <w:b/>
          <w:bCs/>
          <w:color w:val="1a2744"/>
          <w:sz w:val="26"/>
          <w:szCs w:val="26"/>
        </w:rPr>
        <w:t xml:space="preserve">3.2 SISTEMA — EMA × CF × SF</w:t>
      </w:r>
    </w:p>
    <w:p>
      <w:pPr>
        <w:spacing w:after="100" w:before="80"/>
        <w:jc w:val="both"/>
      </w:pPr>
      <w:r>
        <w:rPr>
          <w:rFonts w:ascii="Arial" w:cs="Arial" w:eastAsia="Arial" w:hAnsi="Arial"/>
          <w:color w:val="222222"/>
          <w:sz w:val="21"/>
          <w:szCs w:val="21"/>
        </w:rPr>
        <w:t xml:space="preserve">SISTEMA is the time-compounding score that governs all protocol economics.</w:t>
      </w:r>
    </w:p>
    <w:p>
      <w:pPr>
        <w:shd w:fill="F0F0EC" w:val="clear"/>
        <w:spacing w:after="120" w:before="120"/>
        <w:ind w:left="480" w:right="480"/>
        <w:jc w:val="left"/>
      </w:pPr>
      <w:r>
        <w:rPr>
          <w:rFonts w:ascii="Courier New" w:cs="Courier New" w:eastAsia="Courier New" w:hAnsi="Courier New"/>
          <w:color w:val="1a2744"/>
          <w:sz w:val="18"/>
          <w:szCs w:val="18"/>
        </w:rPr>
        <w:t xml:space="preserve">SISTEMA(t) = EMA(t) × CF(t) × SF(t)  ∈ [0, 1000]</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Factor</w:t>
            </w:r>
          </w:p>
        </w:tc>
        <w:tc>
          <w:tcPr>
            <w:tcW w:type="dxa" w:w="36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Formula</w:t>
            </w:r>
          </w:p>
        </w:tc>
        <w:tc>
          <w:tcPr>
            <w:tcW w:type="dxa" w:w="45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EMA(t) = 0.85 × EMA(t−1) + 0.15 × S_RAW ×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Memory of past performance</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CF</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min(√(trades/250), 1)</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Confidence factor — full at 250 trades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min(mean(last 8 S_RAW)/45, 1) × (1 − σ_s/25)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Safety — penalises inconsistency</w:t>
            </w:r>
          </w:p>
        </w:tc>
      </w:tr>
    </w:tbl>
    <w:p>
      <w:pPr>
        <w:spacing w:after="40" w:before="40"/>
      </w:pPr>
      <w:r>
        <w:t xml:space="preserve"/>
      </w:r>
    </w:p>
    <w:p>
      <w:pPr>
        <w:spacing w:after="120" w:before="240"/>
      </w:pPr>
      <w:r>
        <w:rPr>
          <w:rFonts w:ascii="Arial" w:cs="Arial" w:eastAsia="Arial" w:hAnsi="Arial"/>
          <w:b/>
          <w:bCs/>
          <w:color w:val="333333"/>
          <w:sz w:val="22"/>
          <w:szCs w:val="22"/>
        </w:rPr>
        <w:t xml:space="preserve">Score Bands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Band</w:t>
            </w:r>
          </w:p>
        </w:tc>
        <w:tc>
          <w:tcPr>
            <w:tcW w:type="dxa" w:w="144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SISTEMA</w:t>
            </w:r>
          </w:p>
        </w:tc>
        <w:tc>
          <w:tcPr>
            <w:tcW w:type="dxa" w:w="57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Interpretation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EXPERIMENTAL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0–199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Insufficient track record</w:t>
            </w:r>
          </w:p>
        </w:tc>
      </w:tr>
      <w:tr>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PROMISING</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200–399</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Emerging performance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VERIFIED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400–599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Consistent performer</w:t>
            </w:r>
          </w:p>
        </w:tc>
      </w:tr>
      <w:tr>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ELITE</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600–799</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Top-tier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LEGENDARY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800–1000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Exceptional</w:t>
            </w:r>
          </w:p>
        </w:tc>
      </w:tr>
    </w:tbl>
    <w:p>
      <w:pPr>
        <w:pStyle w:val="Heading2"/>
        <w:spacing w:after="160" w:before="320"/>
      </w:pPr>
      <w:r>
        <w:rPr>
          <w:rFonts w:ascii="Arial" w:cs="Arial" w:eastAsia="Arial" w:hAnsi="Arial"/>
          <w:b/>
          <w:bCs/>
          <w:color w:val="1a2744"/>
          <w:sz w:val="26"/>
          <w:szCs w:val="26"/>
        </w:rPr>
        <w:t xml:space="preserve">3.3 Empirical Validation</w:t>
      </w:r>
    </w:p>
    <w:p>
      <w:pPr>
        <w:spacing w:after="100" w:before="80"/>
        <w:jc w:val="both"/>
      </w:pPr>
      <w:r>
        <w:rPr>
          <w:rFonts w:ascii="Arial" w:cs="Arial" w:eastAsia="Arial" w:hAnsi="Arial"/>
          <w:color w:val="222222"/>
          <w:sz w:val="21"/>
          <w:szCs w:val="21"/>
        </w:rPr>
        <w:t xml:space="preserve">The YAAF score was tested against future returns across three venues with different data qualities.</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00"/>
        <w:gridCol w:w="1800"/>
        <w:gridCol w:w="1800"/>
        <w:gridCol w:w="1920"/>
      </w:tblGrid>
      <w:tr>
        <w:tc>
          <w:tcPr>
            <w:tcW w:type="dxa" w:w="144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Venue</w:t>
            </w:r>
          </w:p>
        </w:tc>
        <w:tc>
          <w:tcPr>
            <w:tcW w:type="dxa" w:w="18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Data Quality</w:t>
            </w:r>
          </w:p>
        </w:tc>
        <w:tc>
          <w:tcPr>
            <w:tcW w:type="dxa" w:w="6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w:t>
            </w:r>
          </w:p>
        </w:tc>
        <w:tc>
          <w:tcPr>
            <w:tcW w:type="dxa" w:w="18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IC (YAAF)</w:t>
            </w:r>
          </w:p>
        </w:tc>
        <w:tc>
          <w:tcPr>
            <w:tcW w:type="dxa" w:w="18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IC (Sharpe)</w:t>
            </w:r>
          </w:p>
        </w:tc>
        <w:tc>
          <w:tcPr>
            <w:tcW w:type="dxa" w:w="192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IC (WR)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GMX 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 (real collateral)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0.4362 (p=0.0005)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0.1747 (p=0.18)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0.2139 (p=0.10)</w:t>
            </w:r>
          </w:p>
        </w:tc>
      </w:tr>
      <w:tr>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Hyperliquid</w:t>
            </w:r>
          </w:p>
        </w:tc>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medium (R estimated)</w:t>
            </w:r>
          </w:p>
        </w:tc>
        <w:tc>
          <w:tcPr>
            <w:tcW w:type="dxa" w:w="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268</w:t>
            </w:r>
          </w:p>
        </w:tc>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−0.0305 (p=0.62)</w:t>
            </w:r>
          </w:p>
        </w:tc>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0.1144 (p=0.06)</w:t>
            </w:r>
          </w:p>
        </w:tc>
        <w:tc>
          <w:tcPr>
            <w:tcW w:type="dxa" w:w="192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0.0171 (p=0.78)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Darwinex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 (Risk Engine)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0.1411 (p&lt;1e−30)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r>
    </w:tbl>
    <w:p>
      <w:pPr>
        <w:spacing w:after="40" w:before="40"/>
      </w:pPr>
      <w:r>
        <w:t xml:space="preserve"/>
      </w:r>
    </w:p>
    <w:p>
      <w:pPr>
        <w:spacing w:after="100" w:before="80"/>
        <w:jc w:val="both"/>
      </w:pPr>
      <w:r>
        <w:rPr>
          <w:rFonts w:ascii="Arial" w:cs="Arial" w:eastAsia="Arial" w:hAnsi="Arial"/>
          <w:b/>
          <w:bCs/>
          <w:color w:val="1a2744"/>
          <w:sz w:val="21"/>
          <w:szCs w:val="21"/>
        </w:rPr>
        <w:t xml:space="preserve">The methodological finding: </w:t>
      </w:r>
      <w:r>
        <w:rPr>
          <w:rFonts w:ascii="Arial" w:cs="Arial" w:eastAsia="Arial" w:hAnsi="Arial"/>
          <w:color w:val="222222"/>
          <w:sz w:val="21"/>
          <w:szCs w:val="21"/>
        </w:rPr>
        <w:t xml:space="preserve">YAAF's predictive power is directly proportional to the quality of the R-multiple input. When the collateral is explicit (GMX V2), YAAF is 2.5x more predictive than Sharpe. When estimated, the edge vanishes. This validates the Volume Axiom as a fundamental gate, not a decorative constraint.</w:t>
      </w:r>
    </w:p>
    <w:p>
      <w:pPr>
        <w:pStyle w:val="Heading2"/>
        <w:spacing w:after="160" w:before="320"/>
      </w:pPr>
      <w:r>
        <w:rPr>
          <w:rFonts w:ascii="Arial" w:cs="Arial" w:eastAsia="Arial" w:hAnsi="Arial"/>
          <w:b/>
          <w:bCs/>
          <w:color w:val="1a2744"/>
          <w:sz w:val="26"/>
          <w:szCs w:val="26"/>
        </w:rPr>
        <w:t xml:space="preserve">3.4 Data Quality Tiers</w:t>
      </w:r>
    </w:p>
    <w:p>
      <w:pPr>
        <w:spacing w:after="100" w:before="80"/>
        <w:jc w:val="both"/>
      </w:pPr>
      <w:r>
        <w:rPr>
          <w:rFonts w:ascii="Arial" w:cs="Arial" w:eastAsia="Arial" w:hAnsi="Arial"/>
          <w:color w:val="222222"/>
          <w:sz w:val="21"/>
          <w:szCs w:val="21"/>
        </w:rPr>
        <w:t xml:space="preserve">Every score in Yelden carries an explicit data quality tier.</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Tier</w:t>
            </w:r>
          </w:p>
        </w:tc>
        <w:tc>
          <w:tcPr>
            <w:tcW w:type="dxa" w:w="60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Definition</w:t>
            </w:r>
          </w:p>
        </w:tc>
        <w:tc>
          <w:tcPr>
            <w:tcW w:type="dxa" w:w="21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Multiplier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Real collateral / R-multiple from source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1.00</w:t>
            </w:r>
          </w:p>
        </w:tc>
      </w:tr>
      <w:tr>
        <w:tc>
          <w:tcPr>
            <w:tcW w:type="dxa" w:w="12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medium</w:t>
            </w:r>
          </w:p>
        </w:tc>
        <w:tc>
          <w:tcPr>
            <w:tcW w:type="dxa" w:w="6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R-multiple estimated from notional</w:t>
            </w:r>
          </w:p>
        </w:tc>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Returns smoothed by intermediary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0.25</w:t>
            </w:r>
          </w:p>
        </w:tc>
      </w:tr>
    </w:tbl>
    <w:p>
      <w:pPr>
        <w:shd w:fill="F0F0EC" w:val="clear"/>
        <w:spacing w:after="120" w:before="120"/>
        <w:ind w:left="480" w:right="480"/>
        <w:jc w:val="left"/>
      </w:pPr>
      <w:r>
        <w:rPr>
          <w:rFonts w:ascii="Courier New" w:cs="Courier New" w:eastAsia="Courier New" w:hAnsi="Courier New"/>
          <w:color w:val="1a2744"/>
          <w:sz w:val="18"/>
          <w:szCs w:val="18"/>
        </w:rPr>
        <w:t xml:space="preserve">C_allocated = min(C_kelly, C_stage) × quality_multiplier</w:t>
      </w:r>
    </w:p>
    <w:p>
      <w:r>
        <w:br/>
      </w:r>
    </w:p>
    <w:p>
      <w:pPr>
        <w:pStyle w:val="Heading1"/>
        <w:spacing w:after="200" w:before="480"/>
      </w:pPr>
      <w:r>
        <w:rPr>
          <w:rFonts w:ascii="Arial" w:cs="Arial" w:eastAsia="Arial" w:hAnsi="Arial"/>
          <w:b/>
          <w:bCs/>
          <w:color w:val="1a2744"/>
          <w:sz w:val="36"/>
          <w:szCs w:val="36"/>
        </w:rPr>
        <w:t xml:space="preserve">04 — The AIAgentRegistry</w:t>
      </w:r>
    </w:p>
    <w:p>
      <w:pPr>
        <w:spacing w:after="100" w:before="80"/>
        <w:jc w:val="both"/>
      </w:pPr>
      <w:r>
        <w:rPr>
          <w:rFonts w:ascii="Arial" w:cs="Arial" w:eastAsia="Arial" w:hAnsi="Arial"/>
          <w:color w:val="222222"/>
          <w:sz w:val="21"/>
          <w:szCs w:val="21"/>
        </w:rPr>
        <w:t xml:space="preserve">The AIAgentRegistry is the on-chain enforcement layer for YAAF scores. Deployed on Polygon Mainnet.</w:t>
      </w:r>
    </w:p>
    <w:p>
      <w:pPr>
        <w:spacing w:after="100" w:before="80"/>
        <w:jc w:val="both"/>
      </w:pPr>
      <w:r>
        <w:rPr>
          <w:rFonts w:ascii="Arial" w:cs="Arial" w:eastAsia="Arial" w:hAnsi="Arial"/>
          <w:b/>
          <w:bCs/>
          <w:color w:val="1a2744"/>
          <w:sz w:val="21"/>
          <w:szCs w:val="21"/>
        </w:rPr>
        <w:t xml:space="preserve">Registry address: </w:t>
      </w:r>
      <w:r>
        <w:rPr>
          <w:rFonts w:ascii="Arial" w:cs="Arial" w:eastAsia="Arial" w:hAnsi="Arial"/>
          <w:color w:val="222222"/>
          <w:sz w:val="21"/>
          <w:szCs w:val="21"/>
        </w:rPr>
        <w:t xml:space="preserve">0xbC102cDec0DD007E7739ac213b62d5B031B22aF1</w:t>
      </w:r>
    </w:p>
    <w:p>
      <w:pPr>
        <w:pStyle w:val="Heading2"/>
        <w:spacing w:after="160" w:before="320"/>
      </w:pPr>
      <w:r>
        <w:rPr>
          <w:rFonts w:ascii="Arial" w:cs="Arial" w:eastAsia="Arial" w:hAnsi="Arial"/>
          <w:b/>
          <w:bCs/>
          <w:color w:val="1a2744"/>
          <w:sz w:val="26"/>
          <w:szCs w:val="26"/>
        </w:rPr>
        <w:t xml:space="preserve">4.1 registerAgent()</w:t>
      </w:r>
    </w:p>
    <w:p>
      <w:pPr>
        <w:spacing w:after="100" w:before="80"/>
        <w:jc w:val="both"/>
      </w:pPr>
      <w:r>
        <w:rPr>
          <w:rFonts w:ascii="Arial" w:cs="Arial" w:eastAsia="Arial" w:hAnsi="Arial"/>
          <w:color w:val="222222"/>
          <w:sz w:val="21"/>
          <w:szCs w:val="21"/>
        </w:rPr>
        <w:t xml:space="preserve">An agent registers by submitting its address and collateral stake in USDC. The registry stores: agent address, data source, data quality tier, registration timestamp, current SISTEMA score, and score history.</w:t>
      </w:r>
    </w:p>
    <w:p>
      <w:pPr>
        <w:pStyle w:val="Heading2"/>
        <w:spacing w:after="160" w:before="320"/>
      </w:pPr>
      <w:r>
        <w:rPr>
          <w:rFonts w:ascii="Arial" w:cs="Arial" w:eastAsia="Arial" w:hAnsi="Arial"/>
          <w:b/>
          <w:bCs/>
          <w:color w:val="1a2744"/>
          <w:sz w:val="26"/>
          <w:szCs w:val="26"/>
        </w:rPr>
        <w:t xml:space="preserve">4.2 updateScore()</w:t>
      </w:r>
    </w:p>
    <w:p>
      <w:pPr>
        <w:spacing w:after="100" w:before="80"/>
        <w:jc w:val="both"/>
      </w:pPr>
      <w:r>
        <w:rPr>
          <w:rFonts w:ascii="Arial" w:cs="Arial" w:eastAsia="Arial" w:hAnsi="Arial"/>
          <w:color w:val="222222"/>
          <w:sz w:val="21"/>
          <w:szCs w:val="21"/>
        </w:rPr>
        <w:t xml:space="preserve">Scores are updated by addresses holding SCORER_ROLE. Each update writes S_RAW (current round), SISTEMA (compounded), Stage, and Timestamp.</w:t>
      </w:r>
    </w:p>
    <w:p>
      <w:pPr>
        <w:pStyle w:val="Heading2"/>
        <w:spacing w:after="160" w:before="320"/>
      </w:pPr>
      <w:r>
        <w:rPr>
          <w:rFonts w:ascii="Arial" w:cs="Arial" w:eastAsia="Arial" w:hAnsi="Arial"/>
          <w:b/>
          <w:bCs/>
          <w:color w:val="1a2744"/>
          <w:sz w:val="26"/>
          <w:szCs w:val="26"/>
        </w:rPr>
        <w:t xml:space="preserve">4.3 slash()</w:t>
      </w:r>
    </w:p>
    <w:p>
      <w:pPr>
        <w:spacing w:after="100" w:before="80"/>
        <w:jc w:val="both"/>
      </w:pPr>
      <w:r>
        <w:rPr>
          <w:rFonts w:ascii="Arial" w:cs="Arial" w:eastAsia="Arial" w:hAnsi="Arial"/>
          <w:color w:val="222222"/>
          <w:sz w:val="21"/>
          <w:szCs w:val="21"/>
        </w:rPr>
        <w:t xml:space="preserve">The slash mechanism fires on either drawdown or capital loss, whichever produces the higher slash amount. This closes the "24% loophole" — an agent that stops trading at 24% DD to avoid a 25% threshold is still slashed on the capital loss dimension.</w:t>
      </w:r>
    </w:p>
    <w:p>
      <w:pPr>
        <w:spacing w:after="40" w:before="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Drawdown</w:t>
            </w:r>
          </w:p>
        </w:tc>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Capital Loss</w:t>
            </w:r>
          </w:p>
        </w:tc>
        <w:tc>
          <w:tcPr>
            <w:tcW w:type="dxa" w:w="45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Slash (stake)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&lt;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&lt;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10–25%</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&lt; 10%</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0.4 × (DD − 0.10) × stake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capital loss trigger overrides</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 25%</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any</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full slash</w:t>
            </w:r>
          </w:p>
        </w:tc>
      </w:tr>
    </w:tbl>
    <w:p>
      <w:pPr>
        <w:pStyle w:val="Heading2"/>
        <w:spacing w:after="160" w:before="320"/>
      </w:pPr>
      <w:r>
        <w:rPr>
          <w:rFonts w:ascii="Arial" w:cs="Arial" w:eastAsia="Arial" w:hAnsi="Arial"/>
          <w:b/>
          <w:bCs/>
          <w:color w:val="1a2744"/>
          <w:sz w:val="26"/>
          <w:szCs w:val="26"/>
        </w:rPr>
        <w:t xml:space="preserve">4.4 isEligible() — Integration Contract</w:t>
      </w:r>
    </w:p>
    <w:p>
      <w:pPr>
        <w:spacing w:after="100" w:before="80"/>
        <w:jc w:val="both"/>
      </w:pPr>
      <w:r>
        <w:rPr>
          <w:rFonts w:ascii="Arial" w:cs="Arial" w:eastAsia="Arial" w:hAnsi="Arial"/>
          <w:color w:val="222222"/>
          <w:sz w:val="21"/>
          <w:szCs w:val="21"/>
        </w:rPr>
        <w:t xml:space="preserve">Any protocol, vault, or fund can integrate Yelden in two lines:</w:t>
      </w:r>
    </w:p>
    <w:p>
      <w:pPr>
        <w:shd w:fill="F0F0EC" w:val="clear"/>
        <w:spacing w:after="120" w:before="120"/>
        <w:ind w:left="480" w:right="480"/>
        <w:jc w:val="left"/>
      </w:pPr>
      <w:r>
        <w:rPr>
          <w:rFonts w:ascii="Courier New" w:cs="Courier New" w:eastAsia="Courier New" w:hAnsi="Courier New"/>
          <w:color w:val="1a2744"/>
          <w:sz w:val="18"/>
          <w:szCs w:val="18"/>
        </w:rPr>
        <w:t xml:space="preserve">IAgentRegistry registry = IAgentRegistry(0xbC102cDec0DD007E7739ac213b62d5B031B22aF1);</w:t>
      </w:r>
    </w:p>
    <w:p>
      <w:pPr>
        <w:shd w:fill="F0F0EC" w:val="clear"/>
        <w:spacing w:after="120" w:before="120"/>
        <w:ind w:left="480" w:right="480"/>
        <w:jc w:val="left"/>
      </w:pPr>
      <w:r>
        <w:rPr>
          <w:rFonts w:ascii="Courier New" w:cs="Courier New" w:eastAsia="Courier New" w:hAnsi="Courier New"/>
          <w:color w:val="1a2744"/>
          <w:sz w:val="18"/>
          <w:szCs w:val="18"/>
        </w:rPr>
        <w:t xml:space="preserve">require(registry.isEligible(agent), "Agent not eligible");</w:t>
      </w:r>
    </w:p>
    <w:p>
      <w:pPr>
        <w:spacing w:after="100" w:before="80"/>
        <w:jc w:val="both"/>
      </w:pPr>
      <w:r>
        <w:rPr>
          <w:rFonts w:ascii="Arial" w:cs="Arial" w:eastAsia="Arial" w:hAnsi="Arial"/>
          <w:color w:val="222222"/>
          <w:sz w:val="21"/>
          <w:szCs w:val="21"/>
        </w:rPr>
        <w:t xml:space="preserve">isEligible() returns true when: SISTEMA ≥ 400 (VERIFIED or above), data quality tier is high or medium, and no pending slash event.</w:t>
      </w:r>
    </w:p>
    <w:p>
      <w:r>
        <w:br/>
      </w:r>
    </w:p>
    <w:p>
      <w:pPr>
        <w:pStyle w:val="Heading1"/>
        <w:spacing w:after="200" w:before="480"/>
      </w:pPr>
      <w:r>
        <w:rPr>
          <w:rFonts w:ascii="Arial" w:cs="Arial" w:eastAsia="Arial" w:hAnsi="Arial"/>
          <w:b/>
          <w:bCs/>
          <w:color w:val="1a2744"/>
          <w:sz w:val="36"/>
          <w:szCs w:val="36"/>
        </w:rPr>
        <w:t xml:space="preserve">05 — Fee Model</w:t>
      </w:r>
    </w:p>
    <w:p>
      <w:pPr>
        <w:spacing w:after="100" w:before="80"/>
        <w:jc w:val="both"/>
      </w:pPr>
      <w:r>
        <w:rPr>
          <w:rFonts w:ascii="Arial" w:cs="Arial" w:eastAsia="Arial" w:hAnsi="Arial"/>
          <w:color w:val="222222"/>
          <w:sz w:val="21"/>
          <w:szCs w:val="21"/>
        </w:rPr>
        <w:t xml:space="preserve">Yelden operates entirely in USDC, USDT, and MATIC. No native token. No governance. No UBI.</w:t>
      </w:r>
    </w:p>
    <w:p>
      <w:pPr>
        <w:pStyle w:val="Heading2"/>
        <w:spacing w:after="160" w:before="320"/>
      </w:pPr>
      <w:r>
        <w:rPr>
          <w:rFonts w:ascii="Arial" w:cs="Arial" w:eastAsia="Arial" w:hAnsi="Arial"/>
          <w:b/>
          <w:bCs/>
          <w:color w:val="1a2744"/>
          <w:sz w:val="26"/>
          <w:szCs w:val="26"/>
        </w:rPr>
        <w:t xml:space="preserve">5.1 Monthly Fee</w:t>
      </w:r>
    </w:p>
    <w:p>
      <w:pPr>
        <w:shd w:fill="F0F0EC" w:val="clear"/>
        <w:spacing w:after="120" w:before="120"/>
        <w:ind w:left="480" w:right="480"/>
        <w:jc w:val="left"/>
      </w:pPr>
      <w:r>
        <w:rPr>
          <w:rFonts w:ascii="Courier New" w:cs="Courier New" w:eastAsia="Courier New" w:hAnsi="Courier New"/>
          <w:color w:val="1a2744"/>
          <w:sz w:val="18"/>
          <w:szCs w:val="18"/>
        </w:rPr>
        <w:t xml:space="preserve">monthly_fee = base_rate × (1000 − SISTEMA) / 1000</w:t>
      </w:r>
    </w:p>
    <w:p>
      <w:pPr>
        <w:spacing w:after="100" w:before="80"/>
        <w:jc w:val="both"/>
      </w:pPr>
      <w:r>
        <w:rPr>
          <w:rFonts w:ascii="Arial" w:cs="Arial" w:eastAsia="Arial" w:hAnsi="Arial"/>
          <w:color w:val="222222"/>
          <w:sz w:val="21"/>
          <w:szCs w:val="21"/>
        </w:rPr>
        <w:t xml:space="preserve">At a base rate of 10 USDC/month:</w:t>
      </w:r>
    </w:p>
    <w:p>
      <w:pPr>
        <w:pStyle w:val="ListParagraph"/>
        <w:numPr>
          <w:ilvl w:val="0"/>
          <w:numId w:val="2"/>
        </w:numPr>
        <w:spacing w:after="60" w:before="60"/>
      </w:pPr>
      <w:r>
        <w:rPr>
          <w:rFonts w:ascii="Arial" w:cs="Arial" w:eastAsia="Arial" w:hAnsi="Arial"/>
          <w:color w:val="222222"/>
          <w:sz w:val="21"/>
          <w:szCs w:val="21"/>
        </w:rPr>
        <w:t xml:space="preserve">SISTEMA 1000 → 0 USDC (excellence is free)</w:t>
      </w:r>
    </w:p>
    <w:p>
      <w:pPr>
        <w:pStyle w:val="ListParagraph"/>
        <w:numPr>
          <w:ilvl w:val="0"/>
          <w:numId w:val="2"/>
        </w:numPr>
        <w:spacing w:after="60" w:before="60"/>
      </w:pPr>
      <w:r>
        <w:rPr>
          <w:rFonts w:ascii="Arial" w:cs="Arial" w:eastAsia="Arial" w:hAnsi="Arial"/>
          <w:color w:val="222222"/>
          <w:sz w:val="21"/>
          <w:szCs w:val="21"/>
        </w:rPr>
        <w:t xml:space="preserve">SISTEMA 500 → 5 USDC</w:t>
      </w:r>
    </w:p>
    <w:p>
      <w:pPr>
        <w:pStyle w:val="ListParagraph"/>
        <w:numPr>
          <w:ilvl w:val="0"/>
          <w:numId w:val="2"/>
        </w:numPr>
        <w:spacing w:after="60" w:before="60"/>
      </w:pPr>
      <w:r>
        <w:rPr>
          <w:rFonts w:ascii="Arial" w:cs="Arial" w:eastAsia="Arial" w:hAnsi="Arial"/>
          <w:color w:val="222222"/>
          <w:sz w:val="21"/>
          <w:szCs w:val="21"/>
        </w:rPr>
        <w:t xml:space="preserve">SISTEMA 0 → 10 USDC (self-eliminates)</w:t>
      </w:r>
    </w:p>
    <w:p>
      <w:pPr>
        <w:spacing w:after="100" w:before="80"/>
        <w:jc w:val="both"/>
      </w:pPr>
      <w:r>
        <w:rPr>
          <w:rFonts w:ascii="Arial" w:cs="Arial" w:eastAsia="Arial" w:hAnsi="Arial"/>
          <w:color w:val="222222"/>
          <w:sz w:val="21"/>
          <w:szCs w:val="21"/>
        </w:rPr>
        <w:t xml:space="preserve">Fees flow to the protocol treasury.</w:t>
      </w:r>
    </w:p>
    <w:p>
      <w:pPr>
        <w:pStyle w:val="Heading2"/>
        <w:spacing w:after="160" w:before="320"/>
      </w:pPr>
      <w:r>
        <w:rPr>
          <w:rFonts w:ascii="Arial" w:cs="Arial" w:eastAsia="Arial" w:hAnsi="Arial"/>
          <w:b/>
          <w:bCs/>
          <w:color w:val="1a2744"/>
          <w:sz w:val="26"/>
          <w:szCs w:val="26"/>
        </w:rPr>
        <w:t xml:space="preserve">5.2 Slash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Level</w:t>
            </w:r>
          </w:p>
        </w:tc>
        <w:tc>
          <w:tcPr>
            <w:tcW w:type="dxa" w:w="30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Trigger</w:t>
            </w:r>
          </w:p>
        </w:tc>
        <w:tc>
          <w:tcPr>
            <w:tcW w:type="dxa" w:w="45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Penalty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Grade 1 misconduct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 of stake</w:t>
            </w:r>
          </w:p>
        </w:tc>
      </w:tr>
      <w:tr>
        <w:tc>
          <w:tcPr>
            <w:tcW w:type="dxa" w:w="18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SUSPENSION</w:t>
            </w:r>
          </w:p>
        </w:tc>
        <w:tc>
          <w:tcPr>
            <w:tcW w:type="dxa" w:w="30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Grade 2 misconduct</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50% of stake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Critical fraud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100% of stake + deregistration</w:t>
            </w:r>
          </w:p>
        </w:tc>
      </w:tr>
    </w:tbl>
    <w:p>
      <w:r>
        <w:br/>
      </w:r>
    </w:p>
    <w:p>
      <w:pPr>
        <w:pStyle w:val="Heading1"/>
        <w:spacing w:after="200" w:before="480"/>
      </w:pPr>
      <w:r>
        <w:rPr>
          <w:rFonts w:ascii="Arial" w:cs="Arial" w:eastAsia="Arial" w:hAnsi="Arial"/>
          <w:b/>
          <w:bCs/>
          <w:color w:val="1a2744"/>
          <w:sz w:val="36"/>
          <w:szCs w:val="36"/>
        </w:rPr>
        <w:t xml:space="preserve">06 — Live Validation</w:t>
      </w:r>
    </w:p>
    <w:p>
      <w:pPr>
        <w:pStyle w:val="Heading2"/>
        <w:spacing w:after="160" w:before="320"/>
      </w:pPr>
      <w:r>
        <w:rPr>
          <w:rFonts w:ascii="Arial" w:cs="Arial" w:eastAsia="Arial" w:hAnsi="Arial"/>
          <w:b/>
          <w:bCs/>
          <w:color w:val="1a2744"/>
          <w:sz w:val="26"/>
          <w:szCs w:val="26"/>
        </w:rPr>
        <w:t xml:space="preserve">6.1 Observatory — 478 Traders</w:t>
      </w:r>
    </w:p>
    <w:p>
      <w:pPr>
        <w:spacing w:after="100" w:before="80"/>
        <w:jc w:val="both"/>
      </w:pPr>
      <w:r>
        <w:rPr>
          <w:rFonts w:ascii="Arial" w:cs="Arial" w:eastAsia="Arial" w:hAnsi="Arial"/>
          <w:color w:val="222222"/>
          <w:sz w:val="21"/>
          <w:szCs w:val="21"/>
        </w:rPr>
        <w:t xml:space="preserve">Yelden operates a continuous observatory that scores autonomous traders across three venues: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Venue</w:t>
            </w:r>
          </w:p>
        </w:tc>
        <w:tc>
          <w:tcPr>
            <w:tcW w:type="dxa" w:w="288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Traders scored</w:t>
            </w:r>
          </w:p>
        </w:tc>
        <w:tc>
          <w:tcPr>
            <w:tcW w:type="dxa" w:w="36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Data quality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Hyperliquid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medium</w:t>
            </w:r>
          </w:p>
        </w:tc>
      </w:tr>
      <w:tr>
        <w:tc>
          <w:tcPr>
            <w:tcW w:type="dxa" w:w="28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GMX V2</w:t>
            </w:r>
          </w:p>
        </w:tc>
        <w:tc>
          <w:tcPr>
            <w:tcW w:type="dxa" w:w="28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60</w:t>
            </w:r>
          </w:p>
        </w:tc>
        <w:tc>
          <w:tcPr>
            <w:tcW w:type="dxa" w:w="36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high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478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r>
    </w:tbl>
    <w:p>
      <w:pPr>
        <w:spacing w:after="100" w:before="80"/>
        <w:jc w:val="both"/>
      </w:pPr>
      <w:r>
        <w:rPr>
          <w:rFonts w:ascii="Arial" w:cs="Arial" w:eastAsia="Arial" w:hAnsi="Arial"/>
          <w:color w:val="222222"/>
          <w:sz w:val="21"/>
          <w:szCs w:val="21"/>
        </w:rPr>
        <w:t xml:space="preserve">Scores update every 6 hours. The observatory is the empirical foundation for YAAF parameter calibration.</w:t>
      </w:r>
    </w:p>
    <w:p>
      <w:pPr>
        <w:pStyle w:val="Heading2"/>
        <w:spacing w:after="160" w:before="320"/>
      </w:pPr>
      <w:r>
        <w:rPr>
          <w:rFonts w:ascii="Arial" w:cs="Arial" w:eastAsia="Arial" w:hAnsi="Arial"/>
          <w:b/>
          <w:bCs/>
          <w:color w:val="1a2744"/>
          <w:sz w:val="26"/>
          <w:szCs w:val="26"/>
        </w:rPr>
        <w:t xml:space="preserve">6.2 Live Trading Agents</w:t>
      </w:r>
    </w:p>
    <w:p>
      <w:pPr>
        <w:spacing w:after="100" w:before="80"/>
        <w:jc w:val="both"/>
      </w:pPr>
      <w:r>
        <w:rPr>
          <w:rFonts w:ascii="Arial" w:cs="Arial" w:eastAsia="Arial" w:hAnsi="Arial"/>
          <w:color w:val="222222"/>
          <w:sz w:val="21"/>
          <w:szCs w:val="21"/>
        </w:rPr>
        <w:t xml:space="preserve">Four autonomous agents run in 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Agent</w:t>
            </w:r>
          </w:p>
        </w:tc>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Venue</w:t>
            </w:r>
          </w:p>
        </w:tc>
        <w:tc>
          <w:tcPr>
            <w:tcW w:type="dxa" w:w="45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Pepperstone bot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cTrader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Live — 16 closed trades</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FTMO bot</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cTrader</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Live — 9 closed trades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OKX balancer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OKX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Live — rebalancing BTC/ETH/SOL/AVAX/gold/USD</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IBKR equities</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Interactive Brokers</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Live — US stocks</w:t>
            </w:r>
          </w:p>
        </w:tc>
      </w:tr>
    </w:tbl>
    <w:p>
      <w:pPr>
        <w:spacing w:after="100" w:before="80"/>
        <w:jc w:val="both"/>
      </w:pPr>
      <w:r>
        <w:rPr>
          <w:rFonts w:ascii="Arial" w:cs="Arial" w:eastAsia="Arial" w:hAnsi="Arial"/>
          <w:color w:val="222222"/>
          <w:sz w:val="21"/>
          <w:szCs w:val="21"/>
        </w:rPr>
        <w:t xml:space="preserve">All four will be registered in the AIAgentRegistry as they accumulate ≥30 closed trades, at which point YAAF produces statistically meaningful scores.</w:t>
      </w:r>
    </w:p>
    <w:p>
      <w:pPr>
        <w:pStyle w:val="Heading2"/>
        <w:spacing w:after="160" w:before="320"/>
      </w:pPr>
      <w:r>
        <w:rPr>
          <w:rFonts w:ascii="Arial" w:cs="Arial" w:eastAsia="Arial" w:hAnsi="Arial"/>
          <w:b/>
          <w:bCs/>
          <w:color w:val="1a2744"/>
          <w:sz w:val="26"/>
          <w:szCs w:val="26"/>
        </w:rPr>
        <w:t xml:space="preserve">6.3 The First Validation — Markowitz Bot</w:t>
      </w:r>
    </w:p>
    <w:p>
      <w:pPr>
        <w:spacing w:after="100" w:before="80"/>
        <w:jc w:val="both"/>
      </w:pPr>
      <w:r>
        <w:rPr>
          <w:rFonts w:ascii="Arial" w:cs="Arial" w:eastAsia="Arial" w:hAnsi="Arial"/>
          <w:color w:val="222222"/>
          <w:sz w:val="21"/>
          <w:szCs w:val="21"/>
        </w:rPr>
        <w:t xml:space="preserve">The first agent to run under YAAF was the Markowitz Bot — a multi-strategy system executing across 7 sub-strategies with Mean-Variance Optimization. It logged 122 live trades with Sharpe 1.44 and max drawdown 6.81%. Its SISTEMA trajectory demonstrated that a real agent could be scored, tracked, and compared against alternatives. The Markowitz Bot has since been superseded by the cTrader agents above, which use the same scoring pipeline.</w:t>
      </w:r>
    </w:p>
    <w:p>
      <w:r>
        <w:br/>
      </w:r>
    </w:p>
    <w:p>
      <w:pPr>
        <w:pStyle w:val="Heading1"/>
        <w:spacing w:after="200" w:before="480"/>
      </w:pPr>
      <w:r>
        <w:rPr>
          <w:rFonts w:ascii="Arial" w:cs="Arial" w:eastAsia="Arial" w:hAnsi="Arial"/>
          <w:b/>
          <w:bCs/>
          <w:color w:val="1a2744"/>
          <w:sz w:val="36"/>
          <w:szCs w:val="36"/>
        </w:rPr>
        <w:t xml:space="preserve">07 — Data Sources &amp; Quality</w:t>
      </w:r>
    </w:p>
    <w:p>
      <w:pPr>
        <w:spacing w:after="100" w:before="80"/>
        <w:jc w:val="both"/>
      </w:pPr>
      <w:r>
        <w:rPr>
          <w:rFonts w:ascii="Arial" w:cs="Arial" w:eastAsia="Arial" w:hAnsi="Arial"/>
          <w:color w:val="222222"/>
          <w:sz w:val="21"/>
          <w:szCs w:val="21"/>
        </w:rPr>
        <w:t xml:space="preserve">Yelden integrates with venues that expose the data YAAF needs. The critical requirement is a real R-multiple — a PnL measured against the actual capital at risk.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Source</w:t>
            </w:r>
          </w:p>
        </w:tc>
        <w:tc>
          <w:tcPr>
            <w:tcW w:type="dxa" w:w="45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R-multiple basis</w:t>
            </w:r>
          </w:p>
        </w:tc>
        <w:tc>
          <w:tcPr>
            <w:tcW w:type="dxa" w:w="240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GMX 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initialCollateralDeltaAmount (real)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cTrader API</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Stop-loss and MAE (real)</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Hyperliquid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Notional × 1% (estimated)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dYdX</w:t>
            </w:r>
          </w:p>
        </w:tc>
        <w:tc>
          <w:tcPr>
            <w:tcW w:type="dxa" w:w="45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Notional × 1% (estimated)</w:t>
            </w:r>
          </w:p>
        </w:tc>
        <w:tc>
          <w:tcPr>
            <w:tcW w:type="dxa" w:w="240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Darwinex Zero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Equity curve (smoothed)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w:t>
            </w:r>
          </w:p>
        </w:tc>
      </w:tr>
    </w:tbl>
    <w:p>
      <w:r>
        <w:br/>
      </w:r>
    </w:p>
    <w:p>
      <w:pPr>
        <w:pStyle w:val="Heading1"/>
        <w:spacing w:after="200" w:before="480"/>
      </w:pPr>
      <w:r>
        <w:rPr>
          <w:rFonts w:ascii="Arial" w:cs="Arial" w:eastAsia="Arial" w:hAnsi="Arial"/>
          <w:b/>
          <w:bCs/>
          <w:color w:val="1a2744"/>
          <w:sz w:val="36"/>
          <w:szCs w:val="36"/>
        </w:rPr>
        <w:t xml:space="preserve">08 —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Phase</w:t>
            </w:r>
          </w:p>
        </w:tc>
        <w:tc>
          <w:tcPr>
            <w:tcW w:type="dxa" w:w="144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Timeline</w:t>
            </w:r>
          </w:p>
        </w:tc>
        <w:tc>
          <w:tcPr>
            <w:tcW w:type="dxa" w:w="5760"/>
            <w:tcBorders>
              <w:top w:val="single" w:color="1a2744" w:sz="4"/>
              <w:left w:val="single" w:color="1a2744" w:sz="4"/>
              <w:bottom w:val="single" w:color="1a2744" w:sz="4"/>
              <w:right w:val="single" w:color="1a2744" w:sz="4"/>
            </w:tcBorders>
            <w:shd w:fill="1a274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Milestone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Foundation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YAAF v5 · AIAgentRegistry on Polygon · Observatory (478 traders) · github.com/yeldenfund/yaaf</w:t>
            </w:r>
          </w:p>
        </w:tc>
      </w:tr>
      <w:tr>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cTrader Integration</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Q4 2026</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cTrader API collector · Pepperstone + FTMO registered on-chain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Multi-Agent Onboarding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Q1 2027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 agents registered · first external agents</w:t>
            </w:r>
          </w:p>
        </w:tc>
      </w:tr>
      <w:tr>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Genesis Scorer Program</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Q1 2027</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3–5 independent scorers · multi-scorer consensus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Formal Audit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Q2 2027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Code4rena or Sherlock audit</w:t>
            </w:r>
          </w:p>
        </w:tc>
      </w:tr>
      <w:tr>
        <w:tc>
          <w:tcPr>
            <w:tcW w:type="dxa" w:w="21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Chainlink Oracle</w:t>
            </w:r>
          </w:p>
        </w:tc>
        <w:tc>
          <w:tcPr>
            <w:tcW w:type="dxa" w:w="144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Q2 2027</w:t>
            </w:r>
          </w:p>
        </w:tc>
        <w:tc>
          <w:tcPr>
            <w:tcW w:type="dxa" w:w="576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tcPr>
          <w:p>
            <w:r>
              <w:rPr>
                <w:rFonts w:ascii="Arial" w:cs="Arial" w:eastAsia="Arial" w:hAnsi="Arial"/>
                <w:color w:val="222222"/>
                <w:sz w:val="18"/>
                <w:szCs w:val="18"/>
              </w:rPr>
              <w:t xml:space="preserve">Decentralised score submission</w:t>
            </w:r>
          </w:p>
        </w:tc>
      </w:tr>
    </w:tbl>
    <w:p>
      <w:r>
        <w:br/>
      </w:r>
    </w:p>
    <w:p>
      <w:pPr>
        <w:pStyle w:val="Heading1"/>
        <w:spacing w:after="200" w:before="480"/>
      </w:pPr>
      <w:r>
        <w:rPr>
          <w:rFonts w:ascii="Arial" w:cs="Arial" w:eastAsia="Arial" w:hAnsi="Arial"/>
          <w:b/>
          <w:bCs/>
          <w:color w:val="1a2744"/>
          <w:sz w:val="36"/>
          <w:szCs w:val="36"/>
        </w:rPr>
        <w:t xml:space="preserve">09 — Known Limitations</w:t>
      </w:r>
    </w:p>
    <w:p>
      <w:pPr>
        <w:spacing w:after="100" w:before="80"/>
        <w:jc w:val="both"/>
      </w:pPr>
      <w:r>
        <w:rPr>
          <w:rFonts w:ascii="Arial" w:cs="Arial" w:eastAsia="Arial" w:hAnsi="Arial"/>
          <w:color w:val="222222"/>
          <w:sz w:val="21"/>
          <w:szCs w:val="21"/>
        </w:rPr>
        <w:t xml:space="preserve">We document known limitations honestly. A protocol that cannot identify its own weaknesses cannot be trusted to improve.</w:t>
      </w:r>
    </w:p>
    <w:p>
      <w:pPr>
        <w:pStyle w:val="ListParagraph"/>
        <w:numPr>
          <w:ilvl w:val="0"/>
          <w:numId w:val="2"/>
        </w:numPr>
        <w:spacing w:after="60" w:before="60"/>
      </w:pPr>
      <w:r>
        <w:rPr>
          <w:rFonts w:ascii="Arial" w:cs="Arial" w:eastAsia="Arial" w:hAnsi="Arial"/>
          <w:color w:val="222222"/>
          <w:sz w:val="21"/>
          <w:szCs w:val="21"/>
        </w:rPr>
        <w:t xml:space="preserve">Single scorer. Currently the founder holds SCORER_ROLE. The Genesis Scorer Program is the fix (Q1 2027).</w:t>
      </w:r>
    </w:p>
    <w:p>
      <w:pPr>
        <w:pStyle w:val="ListParagraph"/>
        <w:numPr>
          <w:ilvl w:val="0"/>
          <w:numId w:val="2"/>
        </w:numPr>
        <w:spacing w:after="60" w:before="60"/>
      </w:pPr>
      <w:r>
        <w:rPr>
          <w:rFonts w:ascii="Arial" w:cs="Arial" w:eastAsia="Arial" w:hAnsi="Arial"/>
          <w:color w:val="222222"/>
          <w:sz w:val="21"/>
          <w:szCs w:val="21"/>
        </w:rPr>
        <w:t xml:space="preserve">No formal audit. Code is pre-audit. Code4rena / Sherlock engagement planned for Q2 2027.</w:t>
      </w:r>
    </w:p>
    <w:p>
      <w:pPr>
        <w:pStyle w:val="ListParagraph"/>
        <w:numPr>
          <w:ilvl w:val="0"/>
          <w:numId w:val="2"/>
        </w:numPr>
        <w:spacing w:after="60" w:before="60"/>
      </w:pPr>
      <w:r>
        <w:rPr>
          <w:rFonts w:ascii="Arial" w:cs="Arial" w:eastAsia="Arial" w:hAnsi="Arial"/>
          <w:color w:val="222222"/>
          <w:sz w:val="21"/>
          <w:szCs w:val="21"/>
        </w:rPr>
        <w:t xml:space="preserve">cTrader integration in progress. The Pepperstone and FTMO agents are live but not yet scored on-chain.</w:t>
      </w:r>
    </w:p>
    <w:p>
      <w:pPr>
        <w:pStyle w:val="ListParagraph"/>
        <w:numPr>
          <w:ilvl w:val="0"/>
          <w:numId w:val="2"/>
        </w:numPr>
        <w:spacing w:after="60" w:before="60"/>
      </w:pPr>
      <w:r>
        <w:rPr>
          <w:rFonts w:ascii="Arial" w:cs="Arial" w:eastAsia="Arial" w:hAnsi="Arial"/>
          <w:color w:val="222222"/>
          <w:sz w:val="21"/>
          <w:szCs w:val="21"/>
        </w:rPr>
        <w:t xml:space="preserve">Data quality variance. Scores from Hyperliquid and Darwinex carry explicit quality penalties.</w:t>
      </w:r>
    </w:p>
    <w:p>
      <w:pPr>
        <w:pStyle w:val="ListParagraph"/>
        <w:numPr>
          <w:ilvl w:val="0"/>
          <w:numId w:val="2"/>
        </w:numPr>
        <w:spacing w:after="60" w:before="60"/>
      </w:pPr>
      <w:r>
        <w:rPr>
          <w:rFonts w:ascii="Arial" w:cs="Arial" w:eastAsia="Arial" w:hAnsi="Arial"/>
          <w:color w:val="222222"/>
          <w:sz w:val="21"/>
          <w:szCs w:val="21"/>
        </w:rPr>
        <w:t xml:space="preserve">Short track record. The current agent fleet has 25 closed trades across two cTrader accounts.</w:t>
      </w:r>
    </w:p>
    <w:p>
      <w:pPr>
        <w:pStyle w:val="ListParagraph"/>
        <w:numPr>
          <w:ilvl w:val="0"/>
          <w:numId w:val="2"/>
        </w:numPr>
        <w:spacing w:after="60" w:before="60"/>
      </w:pPr>
      <w:r>
        <w:rPr>
          <w:rFonts w:ascii="Arial" w:cs="Arial" w:eastAsia="Arial" w:hAnsi="Arial"/>
          <w:color w:val="222222"/>
          <w:sz w:val="21"/>
          <w:szCs w:val="21"/>
        </w:rPr>
        <w:t xml:space="preserve">cTrader R-multiple via MAE. Maximum Adverse Excursion is used as a proxy for risk when stop-loss data is not explicitly available.</w:t>
      </w:r>
    </w:p>
    <w:p>
      <w:r>
        <w:br/>
      </w:r>
    </w:p>
    <w:p>
      <w:pPr>
        <w:pStyle w:val="Heading1"/>
        <w:spacing w:after="200" w:before="480"/>
      </w:pPr>
      <w:r>
        <w:rPr>
          <w:rFonts w:ascii="Arial" w:cs="Arial" w:eastAsia="Arial" w:hAnsi="Arial"/>
          <w:b/>
          <w:bCs/>
          <w:color w:val="1a2744"/>
          <w:sz w:val="36"/>
          <w:szCs w:val="36"/>
        </w:rPr>
        <w:t xml:space="preserve">10 — Team</w:t>
      </w:r>
    </w:p>
    <w:p>
      <w:pPr>
        <w:pStyle w:val="Heading2"/>
        <w:spacing w:after="160" w:before="320"/>
      </w:pPr>
      <w:r>
        <w:rPr>
          <w:rFonts w:ascii="Arial" w:cs="Arial" w:eastAsia="Arial" w:hAnsi="Arial"/>
          <w:b/>
          <w:bCs/>
          <w:color w:val="1a2744"/>
          <w:sz w:val="26"/>
          <w:szCs w:val="26"/>
        </w:rPr>
        <w:t xml:space="preserve">Paulo Longen — Founder</w:t>
      </w:r>
    </w:p>
    <w:p>
      <w:pPr>
        <w:spacing w:after="100" w:before="80"/>
        <w:jc w:val="both"/>
      </w:pPr>
      <w:r>
        <w:rPr>
          <w:rFonts w:ascii="Arial" w:cs="Arial" w:eastAsia="Arial" w:hAnsi="Arial"/>
          <w:color w:val="222222"/>
          <w:sz w:val="21"/>
          <w:szCs w:val="21"/>
        </w:rPr>
        <w:t xml:space="preserve">For 30 years, Paulo commanded systems where a wrong decision had real consequences — people, aircraft, missions. As a Colonel Engineer in the Brazilian Air Force, he spent his career designing and operating critical infrastructure where failure was not an option.</w:t>
      </w:r>
    </w:p>
    <w:p>
      <w:pPr>
        <w:spacing w:after="100" w:before="80"/>
        <w:jc w:val="both"/>
      </w:pPr>
      <w:r>
        <w:rPr>
          <w:rFonts w:ascii="Arial" w:cs="Arial" w:eastAsia="Arial" w:hAnsi="Arial"/>
          <w:color w:val="222222"/>
          <w:sz w:val="21"/>
          <w:szCs w:val="21"/>
        </w:rPr>
        <w:t xml:space="preserve">He retired in 2024 and entered the world of algorithmic trading. What he found was the opposite of everything he had spent three decades building: autonomous agents managing capital with no accountability layer at all. No skin in the game. No mechanism to distinguish skill from luck. No consequence for failure.</w:t>
      </w:r>
    </w:p>
    <w:p>
      <w:pPr>
        <w:pBdr>
          <w:left w:val="single" w:color="C9A84C" w:sz="6" w:space="12"/>
        </w:pBdr>
        <w:spacing w:after="100" w:before="80"/>
        <w:ind w:left="480"/>
        <w:jc w:val="both"/>
      </w:pPr>
      <w:r>
        <w:rPr>
          <w:rFonts w:ascii="Arial" w:cs="Arial" w:eastAsia="Arial" w:hAnsi="Arial"/>
          <w:i/>
          <w:iCs/>
          <w:color w:val="555555"/>
          <w:sz w:val="21"/>
          <w:szCs w:val="21"/>
        </w:rPr>
        <w:t xml:space="preserve">"I spent 30 years building systems that could not fail silently. Autonomous trading agents are the opposite: they fail silently, restart under a new address, and nobody notices. Yelden closes that gap."</w:t>
      </w:r>
    </w:p>
    <w:p>
      <w:pPr>
        <w:spacing w:after="100" w:before="80"/>
        <w:jc w:val="both"/>
      </w:pPr>
      <w:r>
        <w:rPr>
          <w:rFonts w:ascii="Arial" w:cs="Arial" w:eastAsia="Arial" w:hAnsi="Arial"/>
          <w:color w:val="222222"/>
          <w:sz w:val="21"/>
          <w:szCs w:val="21"/>
        </w:rPr>
        <w:t xml:space="preserve">Yelden Protocol is the infrastructure he wished existed. Validated empirically (rho=0.44, p&lt;0.001 on GMX V2), deployed on Polygon mainnet, with four live trading agents running in production.</w:t>
      </w:r>
    </w:p>
    <w:p>
      <w:pPr>
        <w:spacing w:after="100" w:before="80"/>
        <w:jc w:val="both"/>
      </w:pPr>
      <w:r>
        <w:rPr>
          <w:rFonts w:ascii="Arial" w:cs="Arial" w:eastAsia="Arial" w:hAnsi="Arial"/>
          <w:color w:val="222222"/>
          <w:sz w:val="21"/>
          <w:szCs w:val="21"/>
        </w:rPr>
        <w:t xml:space="preserve">Contact: yeldenfund@gmail.com</w:t>
      </w:r>
    </w:p>
    <w:p>
      <w:r>
        <w:br/>
      </w:r>
    </w:p>
    <w:p>
      <w:pPr>
        <w:pStyle w:val="Heading1"/>
        <w:spacing w:after="200" w:before="480"/>
      </w:pPr>
      <w:r>
        <w:rPr>
          <w:rFonts w:ascii="Arial" w:cs="Arial" w:eastAsia="Arial" w:hAnsi="Arial"/>
          <w:b/>
          <w:bCs/>
          <w:color w:val="1a2744"/>
          <w:sz w:val="36"/>
          <w:szCs w:val="36"/>
        </w:rPr>
        <w:t xml:space="preserve">11 — References</w:t>
      </w:r>
    </w:p>
    <w:p>
      <w:pPr>
        <w:pStyle w:val="ListParagraph"/>
        <w:numPr>
          <w:ilvl w:val="0"/>
          <w:numId w:val="2"/>
        </w:numPr>
        <w:spacing w:after="50" w:before="50"/>
      </w:pPr>
      <w:r>
        <w:rPr>
          <w:rFonts w:ascii="Arial" w:cs="Arial" w:eastAsia="Arial" w:hAnsi="Arial"/>
          <w:i/>
          <w:iCs/>
          <w:color w:val="555555"/>
          <w:sz w:val="19"/>
          <w:szCs w:val="19"/>
        </w:rPr>
        <w:t xml:space="preserve">Artzner, P. et al. (1999). Coherent Measures of Risk. Mathematical Finance, 9(3).</w:t>
      </w:r>
    </w:p>
    <w:p>
      <w:pPr>
        <w:pStyle w:val="ListParagraph"/>
        <w:numPr>
          <w:ilvl w:val="0"/>
          <w:numId w:val="2"/>
        </w:numPr>
        <w:spacing w:after="50" w:before="50"/>
      </w:pPr>
      <w:r>
        <w:rPr>
          <w:rFonts w:ascii="Arial" w:cs="Arial" w:eastAsia="Arial" w:hAnsi="Arial"/>
          <w:i/>
          <w:iCs/>
          <w:color w:val="555555"/>
          <w:sz w:val="19"/>
          <w:szCs w:val="19"/>
        </w:rPr>
        <w:t xml:space="preserve">Bailey, D.H. &amp; López de Prado, M. (2014). The Deflated Sharpe Ratio. Journal of Portfolio Management, 40(5).</w:t>
      </w:r>
    </w:p>
    <w:p>
      <w:pPr>
        <w:pStyle w:val="ListParagraph"/>
        <w:numPr>
          <w:ilvl w:val="0"/>
          <w:numId w:val="2"/>
        </w:numPr>
        <w:spacing w:after="50" w:before="50"/>
      </w:pPr>
      <w:r>
        <w:rPr>
          <w:rFonts w:ascii="Arial" w:cs="Arial" w:eastAsia="Arial" w:hAnsi="Arial"/>
          <w:i/>
          <w:iCs/>
          <w:color w:val="555555"/>
          <w:sz w:val="19"/>
          <w:szCs w:val="19"/>
        </w:rPr>
        <w:t xml:space="preserve">Kelly, J.L. (1956). A New Interpretation of Information Rate. Bell System Technical Journal, 35.</w:t>
      </w:r>
    </w:p>
    <w:p>
      <w:pPr>
        <w:pStyle w:val="ListParagraph"/>
        <w:numPr>
          <w:ilvl w:val="0"/>
          <w:numId w:val="2"/>
        </w:numPr>
        <w:spacing w:after="50" w:before="50"/>
      </w:pPr>
      <w:r>
        <w:rPr>
          <w:rFonts w:ascii="Arial" w:cs="Arial" w:eastAsia="Arial" w:hAnsi="Arial"/>
          <w:i/>
          <w:iCs/>
          <w:color w:val="555555"/>
          <w:sz w:val="19"/>
          <w:szCs w:val="19"/>
        </w:rPr>
        <w:t xml:space="preserve">MacLean, L.C., Thorp, E.O. &amp; Ziemba, W.T. (2011). The Kelly Capital Growth Investment Criterion. World Scientific.</w:t>
      </w:r>
    </w:p>
    <w:p>
      <w:pPr>
        <w:pStyle w:val="ListParagraph"/>
        <w:numPr>
          <w:ilvl w:val="0"/>
          <w:numId w:val="2"/>
        </w:numPr>
        <w:spacing w:after="50" w:before="50"/>
      </w:pPr>
      <w:r>
        <w:rPr>
          <w:rFonts w:ascii="Arial" w:cs="Arial" w:eastAsia="Arial" w:hAnsi="Arial"/>
          <w:i/>
          <w:iCs/>
          <w:color w:val="555555"/>
          <w:sz w:val="19"/>
          <w:szCs w:val="19"/>
        </w:rPr>
        <w:t xml:space="preserve">Markowitz, H. (1952). Portfolio Selection. Journal of Finance, 7(1).</w:t>
      </w:r>
    </w:p>
    <w:p>
      <w:pPr>
        <w:pStyle w:val="ListParagraph"/>
        <w:numPr>
          <w:ilvl w:val="0"/>
          <w:numId w:val="2"/>
        </w:numPr>
        <w:spacing w:after="50" w:before="50"/>
      </w:pPr>
      <w:r>
        <w:rPr>
          <w:rFonts w:ascii="Arial" w:cs="Arial" w:eastAsia="Arial" w:hAnsi="Arial"/>
          <w:i/>
          <w:iCs/>
          <w:color w:val="555555"/>
          <w:sz w:val="19"/>
          <w:szCs w:val="19"/>
        </w:rPr>
        <w:t xml:space="preserve">Rockafellar, R.T. &amp; Uryasev, S. (2000). Optimization of Conditional Value-at-Risk. Journal of Risk, 2(3).</w:t>
      </w:r>
    </w:p>
    <w:p>
      <w:pPr>
        <w:pStyle w:val="ListParagraph"/>
        <w:numPr>
          <w:ilvl w:val="0"/>
          <w:numId w:val="2"/>
        </w:numPr>
        <w:spacing w:after="50" w:before="50"/>
      </w:pPr>
      <w:r>
        <w:rPr>
          <w:rFonts w:ascii="Arial" w:cs="Arial" w:eastAsia="Arial" w:hAnsi="Arial"/>
          <w:i/>
          <w:iCs/>
          <w:color w:val="555555"/>
          <w:sz w:val="19"/>
          <w:szCs w:val="19"/>
        </w:rPr>
        <w:t xml:space="preserve">Sharpe, W.F. (1966). Mutual Fund Performance. Journal of Business, 39(1).</w:t>
      </w:r>
    </w:p>
    <w:p>
      <w:pPr>
        <w:pStyle w:val="ListParagraph"/>
        <w:numPr>
          <w:ilvl w:val="0"/>
          <w:numId w:val="2"/>
        </w:numPr>
        <w:spacing w:after="50" w:before="50"/>
      </w:pPr>
      <w:r>
        <w:rPr>
          <w:rFonts w:ascii="Arial" w:cs="Arial" w:eastAsia="Arial" w:hAnsi="Arial"/>
          <w:i/>
          <w:iCs/>
          <w:color w:val="555555"/>
          <w:sz w:val="19"/>
          <w:szCs w:val="19"/>
        </w:rPr>
        <w:t xml:space="preserve">Sortino, F. &amp; van der Meer, R. (1991). Downside Risk. Journal of Portfolio Management, 17(4).</w:t>
      </w:r>
    </w:p>
    <w:p>
      <w:pPr>
        <w:pStyle w:val="ListParagraph"/>
        <w:numPr>
          <w:ilvl w:val="0"/>
          <w:numId w:val="2"/>
        </w:numPr>
        <w:spacing w:after="50" w:before="50"/>
      </w:pPr>
      <w:r>
        <w:rPr>
          <w:rFonts w:ascii="Arial" w:cs="Arial" w:eastAsia="Arial" w:hAnsi="Arial"/>
          <w:i/>
          <w:iCs/>
          <w:color w:val="555555"/>
          <w:sz w:val="19"/>
          <w:szCs w:val="19"/>
        </w:rPr>
        <w:t xml:space="preserve">Taleb, N.N. (2018). Skin in the Game. Random House.</w:t>
      </w:r>
    </w:p>
    <w:p>
      <w:pPr>
        <w:pStyle w:val="ListParagraph"/>
        <w:numPr>
          <w:ilvl w:val="0"/>
          <w:numId w:val="2"/>
        </w:numPr>
        <w:spacing w:after="50" w:before="50"/>
      </w:pPr>
      <w:r>
        <w:rPr>
          <w:rFonts w:ascii="Arial" w:cs="Arial" w:eastAsia="Arial" w:hAnsi="Arial"/>
          <w:i/>
          <w:iCs/>
          <w:color w:val="555555"/>
          <w:sz w:val="19"/>
          <w:szCs w:val="19"/>
        </w:rPr>
        <w:t xml:space="preserve">Van Tharp, T. (1998). Trade Your Way to Financial Freedom. McGraw-Hill.</w:t>
      </w:r>
    </w:p>
    <w:p>
      <w:pPr>
        <w:pStyle w:val="ListParagraph"/>
        <w:numPr>
          <w:ilvl w:val="0"/>
          <w:numId w:val="2"/>
        </w:numPr>
        <w:spacing w:after="50" w:before="50"/>
      </w:pPr>
      <w:r>
        <w:rPr>
          <w:rFonts w:ascii="Arial" w:cs="Arial" w:eastAsia="Arial" w:hAnsi="Arial"/>
          <w:i/>
          <w:iCs/>
          <w:color w:val="555555"/>
          <w:sz w:val="19"/>
          <w:szCs w:val="19"/>
        </w:rPr>
        <w:t xml:space="preserve">Young, T.W. (1991). Calmar Ratio. Futures Magazine.</w:t>
      </w:r>
    </w:p>
    <w:p>
      <w:r>
        <w:br/>
      </w:r>
    </w:p>
    <w:p>
      <w:pPr>
        <w:pStyle w:val="Heading1"/>
        <w:spacing w:after="200" w:before="480"/>
      </w:pPr>
      <w:r>
        <w:rPr>
          <w:rFonts w:ascii="Arial" w:cs="Arial" w:eastAsia="Arial" w:hAnsi="Arial"/>
          <w:b/>
          <w:bCs/>
          <w:color w:val="1a2744"/>
          <w:sz w:val="36"/>
          <w:szCs w:val="36"/>
        </w:rPr>
        <w:t xml:space="preserve">12 — Disclaimer</w:t>
      </w:r>
    </w:p>
    <w:p>
      <w:pPr>
        <w:spacing w:after="100" w:before="80"/>
        <w:jc w:val="both"/>
      </w:pPr>
      <w:r>
        <w:rPr>
          <w:rFonts w:ascii="Arial" w:cs="Arial" w:eastAsia="Arial" w:hAnsi="Arial"/>
          <w:color w:val="222222"/>
          <w:sz w:val="21"/>
          <w:szCs w:val="21"/>
        </w:rPr>
        <w:t xml:space="preserve">This document is for informational purposes only. It does not constitute an offer or solicitation to purchase any security, investment, or financial instrument. Yelden Protocol is experimental smart contract infrastructure. Smart contracts may contain bugs. Past performance of any agent does not guarantee future results. Protocol revenue and incentives are not guaranteed. All forward-looking statements involve risk and uncertainty.</w:t>
      </w:r>
    </w:p>
    <w:p>
      <w:pPr>
        <w:spacing w:after="100" w:before="80"/>
        <w:jc w:val="both"/>
      </w:pPr>
      <w:r>
        <w:rPr>
          <w:rFonts w:ascii="Arial" w:cs="Arial" w:eastAsia="Arial" w:hAnsi="Arial"/>
          <w:color w:val="222222"/>
          <w:sz w:val="21"/>
          <w:szCs w:val="21"/>
        </w:rPr>
        <w:t xml:space="preserve">The AIAgentRegistry address cited in this document is deployed on Polygon Mainnet and has not been formally audited. Users interacting with it do so at their own risk.</w:t>
      </w:r>
    </w:p>
    <w:p>
      <w:pPr>
        <w:spacing w:after="40" w:before="40"/>
      </w:pPr>
      <w:r>
        <w:t xml:space="preserve"/>
      </w:r>
    </w:p>
    <w:p>
      <w:pPr>
        <w:spacing w:after="80" w:before="240"/>
        <w:jc w:val="center"/>
      </w:pPr>
      <w:r>
        <w:rPr>
          <w:rFonts w:ascii="Arial" w:cs="Arial" w:eastAsia="Arial" w:hAnsi="Arial"/>
          <w:b/>
          <w:bCs/>
          <w:color w:val="1a2744"/>
          <w:sz w:val="20"/>
          <w:szCs w:val="20"/>
        </w:rPr>
        <w:t xml:space="preserve">Yelden Protocol — yelden.fund — October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888888"/>
        <w:sz w:val="15"/>
        <w:szCs w:val="15"/>
      </w:rPr>
      <w:t xml:space="preserve">Yelden Protocol — Whitepaper v16 — yelden.fund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74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2026-10-06T21:20:30.333Z</dcterms:created>
  <dcterms:modified xsi:type="dcterms:W3CDTF">2026-10-06T21:20:30.339Z</dcterms:modified>
</cp:coreProperties>
</file>

<file path=docProps/custom.xml><?xml version="1.0" encoding="utf-8"?>
<Properties xmlns="http://schemas.openxmlformats.org/officeDocument/2006/custom-properties" xmlns:vt="http://schemas.openxmlformats.org/officeDocument/2006/docPropsVTypes"/>
</file>